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428AF3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Коммерческое предложение от </w:t>
      </w:r>
      <w:r>
        <w:rPr>
          <w:rFonts w:hint="default" w:eastAsia="TimesNewRomanPS-BoldMT"/>
          <w:bCs/>
          <w:color w:val="000000"/>
          <w:sz w:val="24"/>
          <w:szCs w:val="24"/>
          <w:lang w:val="en-US" w:eastAsia="ru-RU"/>
        </w:rPr>
        <w:t>11.08.25</w:t>
      </w:r>
      <w:r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 г.</w:t>
      </w:r>
    </w:p>
    <w:p w14:paraId="53CB112E">
      <w:pPr>
        <w:widowControl/>
        <w:suppressAutoHyphens w:val="0"/>
        <w:jc w:val="center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>Уважаемые господа!</w:t>
      </w:r>
    </w:p>
    <w:p w14:paraId="3EF0E4D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color w:val="000000"/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Компания «</w:t>
      </w:r>
      <w:r>
        <w:rPr>
          <w:sz w:val="24"/>
          <w:szCs w:val="24"/>
        </w:rPr>
        <w:t>Баутек</w:t>
      </w:r>
      <w:r>
        <w:rPr>
          <w:sz w:val="24"/>
          <w:szCs w:val="24"/>
          <w:lang w:eastAsia="ru-RU"/>
        </w:rPr>
        <w:t xml:space="preserve">» совместно с официальным дилером по РФ ООО "МаксКар" благодарит Вас за интерес </w:t>
      </w:r>
      <w:r>
        <w:rPr>
          <w:color w:val="000000"/>
          <w:sz w:val="24"/>
          <w:szCs w:val="24"/>
          <w:lang w:eastAsia="ru-RU"/>
        </w:rPr>
        <w:t xml:space="preserve">к продукции </w:t>
      </w:r>
      <w:r>
        <w:rPr>
          <w:color w:val="000000"/>
          <w:sz w:val="24"/>
          <w:szCs w:val="24"/>
          <w:lang w:val="en-US" w:eastAsia="ru-RU"/>
        </w:rPr>
        <w:t>ISO</w:t>
      </w:r>
      <w:r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val="en-US" w:eastAsia="ru-RU"/>
        </w:rPr>
        <w:t>PAKCS</w:t>
      </w:r>
      <w:r>
        <w:rPr>
          <w:color w:val="000000"/>
          <w:sz w:val="24"/>
          <w:szCs w:val="24"/>
          <w:lang w:eastAsia="ru-RU"/>
        </w:rPr>
        <w:t>. Ссылаясь на Ваш запрос, ниже представлены коммерческие условия и технические характеристики продукта.</w:t>
      </w:r>
    </w:p>
    <w:p w14:paraId="4984F147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/>
          <w:bCs/>
          <w:color w:val="000000"/>
          <w:sz w:val="24"/>
          <w:szCs w:val="24"/>
        </w:rPr>
      </w:pPr>
      <w:r>
        <w:rPr>
          <w:rFonts w:eastAsia="Calibri"/>
          <w:b/>
          <w:bCs/>
          <w:color w:val="000000"/>
          <w:sz w:val="24"/>
          <w:szCs w:val="24"/>
        </w:rPr>
        <w:t xml:space="preserve">Полуприцеп шторно-бортовой </w:t>
      </w:r>
      <w:r>
        <w:rPr>
          <w:b/>
          <w:color w:val="000000"/>
          <w:sz w:val="24"/>
          <w:szCs w:val="24"/>
          <w:lang w:val="en-US" w:eastAsia="ru-RU"/>
        </w:rPr>
        <w:t>ISO</w:t>
      </w:r>
      <w:r>
        <w:rPr>
          <w:b/>
          <w:color w:val="000000"/>
          <w:sz w:val="24"/>
          <w:szCs w:val="24"/>
          <w:lang w:eastAsia="ru-RU"/>
        </w:rPr>
        <w:t xml:space="preserve"> </w:t>
      </w:r>
      <w:r>
        <w:rPr>
          <w:b/>
          <w:color w:val="000000"/>
          <w:sz w:val="24"/>
          <w:szCs w:val="24"/>
          <w:lang w:val="en-US" w:eastAsia="ru-RU"/>
        </w:rPr>
        <w:t>PAKCS</w:t>
      </w:r>
      <w:r>
        <w:rPr>
          <w:rFonts w:eastAsia="Calibri"/>
          <w:b/>
          <w:bCs/>
          <w:color w:val="000000"/>
          <w:sz w:val="24"/>
          <w:szCs w:val="24"/>
        </w:rPr>
        <w:t xml:space="preserve"> </w:t>
      </w:r>
      <w:r>
        <w:rPr>
          <w:rFonts w:eastAsia="Calibri"/>
          <w:b/>
          <w:bCs/>
          <w:color w:val="000000"/>
          <w:sz w:val="24"/>
          <w:szCs w:val="24"/>
          <w:lang w:val="en-US"/>
        </w:rPr>
        <w:t>MAXIMA</w:t>
      </w:r>
      <w:r>
        <w:rPr>
          <w:b/>
          <w:sz w:val="24"/>
          <w:szCs w:val="24"/>
        </w:rPr>
        <w:t xml:space="preserve"> KCS-X</w:t>
      </w:r>
      <w:r>
        <w:rPr>
          <w:b/>
          <w:sz w:val="24"/>
          <w:szCs w:val="24"/>
          <w:lang w:val="en-US"/>
        </w:rPr>
        <w:t>S</w:t>
      </w:r>
      <w:r>
        <w:rPr>
          <w:b/>
          <w:sz w:val="24"/>
          <w:szCs w:val="24"/>
        </w:rPr>
        <w:t>1 +/90-12/27-</w:t>
      </w:r>
      <w:r>
        <w:rPr>
          <w:b/>
          <w:sz w:val="24"/>
          <w:szCs w:val="24"/>
          <w:lang w:val="en-US"/>
        </w:rPr>
        <w:t>TIR</w:t>
      </w:r>
      <w:r>
        <w:rPr>
          <w:b/>
          <w:sz w:val="24"/>
          <w:szCs w:val="24"/>
        </w:rPr>
        <w:t>, 13,6 м., 202</w:t>
      </w:r>
      <w:r>
        <w:rPr>
          <w:rFonts w:hint="default"/>
          <w:b/>
          <w:sz w:val="24"/>
          <w:szCs w:val="24"/>
          <w:lang w:val="ru-RU"/>
        </w:rPr>
        <w:t>4</w:t>
      </w:r>
      <w:r>
        <w:rPr>
          <w:b/>
          <w:sz w:val="24"/>
          <w:szCs w:val="24"/>
        </w:rPr>
        <w:t xml:space="preserve"> г.в., с подъемной осью, с запаской, со стаканами под коники, в наличии в </w:t>
      </w:r>
      <w:r>
        <w:rPr>
          <w:b/>
          <w:sz w:val="24"/>
          <w:szCs w:val="24"/>
          <w:lang w:val="ru-RU"/>
        </w:rPr>
        <w:t>Ясногорске</w:t>
      </w:r>
      <w:r>
        <w:rPr>
          <w:b/>
          <w:sz w:val="24"/>
          <w:szCs w:val="24"/>
        </w:rPr>
        <w:t>.</w:t>
      </w:r>
    </w:p>
    <w:p w14:paraId="312AE4E1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Cs/>
          <w:color w:val="000000"/>
          <w:sz w:val="24"/>
          <w:szCs w:val="24"/>
        </w:rPr>
      </w:pPr>
      <w:r>
        <w:rPr>
          <w:rFonts w:eastAsia="Calibri"/>
          <w:bCs/>
          <w:color w:val="000000"/>
          <w:sz w:val="24"/>
          <w:szCs w:val="24"/>
        </w:rPr>
        <w:drawing>
          <wp:inline distT="0" distB="0" distL="114300" distR="114300">
            <wp:extent cx="6229350" cy="3364230"/>
            <wp:effectExtent l="0" t="0" r="3810" b="3810"/>
            <wp:docPr id="4" name="Изображение 4" descr="9c010f27-471e-4f7f-8228-dc0498638a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9c010f27-471e-4f7f-8228-dc0498638a10"/>
                    <pic:cNvPicPr>
                      <a:picLocks noChangeAspect="1"/>
                    </pic:cNvPicPr>
                  </pic:nvPicPr>
                  <pic:blipFill>
                    <a:blip r:embed="rId7"/>
                    <a:srcRect b="3999"/>
                    <a:stretch>
                      <a:fillRect/>
                    </a:stretch>
                  </pic:blipFill>
                  <pic:spPr>
                    <a:xfrm>
                      <a:off x="0" y="0"/>
                      <a:ext cx="6229350" cy="336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5778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Cs/>
          <w:color w:val="000000"/>
          <w:sz w:val="24"/>
          <w:szCs w:val="24"/>
        </w:rPr>
      </w:pPr>
      <w:r>
        <w:rPr>
          <w:rFonts w:eastAsia="Calibri"/>
          <w:bCs/>
          <w:color w:val="000000"/>
          <w:sz w:val="24"/>
          <w:szCs w:val="24"/>
        </w:rPr>
        <w:drawing>
          <wp:inline distT="0" distB="0" distL="114300" distR="114300">
            <wp:extent cx="6181090" cy="1674495"/>
            <wp:effectExtent l="0" t="0" r="0" b="0"/>
            <wp:docPr id="6" name="Изображение 6" descr="50e6679e-f8d2-4617-a110-c52ab16a8b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50e6679e-f8d2-4617-a110-c52ab16a8b46"/>
                    <pic:cNvPicPr>
                      <a:picLocks noChangeAspect="1"/>
                    </pic:cNvPicPr>
                  </pic:nvPicPr>
                  <pic:blipFill>
                    <a:blip r:embed="rId8"/>
                    <a:srcRect t="21822" b="30022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3FAB9">
      <w:pPr>
        <w:widowControl/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rPr>
          <w:rFonts w:eastAsia="Calibri"/>
          <w:bCs/>
          <w:color w:val="000000"/>
          <w:sz w:val="24"/>
          <w:szCs w:val="24"/>
        </w:rPr>
      </w:pP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  <w:lang w:val="zh-CN" w:eastAsia="zh-CN" w:bidi="zh-CN"/>
        </w:rPr>
        <w:t xml:space="preserve">  </w:t>
      </w: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ru-RU"/>
        </w:rPr>
        <w:drawing>
          <wp:inline distT="0" distB="0" distL="0" distR="0">
            <wp:extent cx="3518535" cy="4692015"/>
            <wp:effectExtent l="0" t="0" r="5715" b="0"/>
            <wp:docPr id="1" name="Рисунок 1" descr="C:\Users\С ноута\d (acer travelMate 6292)\мои документы\Полуприцепы производители-поставщики\kassbohrer\тента\штора-борт стаканы Изопакс\0e99d033-e4f3-4087-8240-c841a4fa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С ноута\d (acer travelMate 6292)\мои документы\Полуприцепы производители-поставщики\kassbohrer\тента\штора-борт стаканы Изопакс\0e99d033-e4f3-4087-8240-c841a4fa01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9543" cy="470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napToGrid w:val="0"/>
          <w:color w:val="000000"/>
          <w:w w:val="0"/>
          <w:sz w:val="0"/>
          <w:szCs w:val="0"/>
          <w:u w:color="000000"/>
          <w:shd w:val="clear" w:color="000000" w:fill="000000"/>
          <w:lang w:eastAsia="ru-RU"/>
        </w:rPr>
        <w:drawing>
          <wp:inline distT="0" distB="0" distL="0" distR="0">
            <wp:extent cx="2644140" cy="4700270"/>
            <wp:effectExtent l="0" t="0" r="3810" b="5080"/>
            <wp:docPr id="3" name="Рисунок 3" descr="C:\Users\С ноута\d (acer travelMate 6292)\мои документы\Полуприцепы производители-поставщики\kassbohrer\тента\Штора-борт, TIR, подъемная ось\International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С ноута\d (acer travelMate 6292)\мои документы\Полуприцепы производители-поставщики\kassbohrer\тента\Штора-борт, TIR, подъемная ось\International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8208" cy="474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3C244">
      <w:pPr>
        <w:widowControl/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ind w:left="576"/>
        <w:rPr>
          <w:rFonts w:eastAsia="Calibri"/>
          <w:bCs/>
          <w:color w:val="000000"/>
          <w:sz w:val="24"/>
          <w:szCs w:val="24"/>
        </w:rPr>
      </w:pPr>
      <w:r>
        <w:fldChar w:fldCharType="begin"/>
      </w:r>
      <w:r>
        <w:instrText xml:space="preserve"> HYPERLINK "https://www.youtube.com/watch?v=KXhtyDYaIeY" </w:instrText>
      </w:r>
      <w:r>
        <w:fldChar w:fldCharType="separate"/>
      </w:r>
      <w:r>
        <w:rPr>
          <w:rStyle w:val="6"/>
          <w:rFonts w:eastAsia="Calibri"/>
          <w:bCs/>
          <w:sz w:val="24"/>
          <w:szCs w:val="24"/>
        </w:rPr>
        <w:t>https://www.youtube.com/watch?v=KXhtyDYaIeY</w:t>
      </w:r>
      <w:r>
        <w:rPr>
          <w:rStyle w:val="6"/>
          <w:rFonts w:eastAsia="Calibri"/>
          <w:bCs/>
          <w:sz w:val="24"/>
          <w:szCs w:val="24"/>
        </w:rPr>
        <w:fldChar w:fldCharType="end"/>
      </w:r>
    </w:p>
    <w:p w14:paraId="4620E8D6">
      <w:pPr>
        <w:widowControl/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ind w:left="576"/>
        <w:rPr>
          <w:rFonts w:eastAsia="Calibri"/>
          <w:bCs/>
          <w:color w:val="000000"/>
          <w:sz w:val="24"/>
          <w:szCs w:val="24"/>
        </w:rPr>
      </w:pPr>
    </w:p>
    <w:p w14:paraId="10A45ED5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Cs/>
          <w:color w:val="000000"/>
          <w:sz w:val="24"/>
          <w:szCs w:val="24"/>
        </w:rPr>
      </w:pPr>
      <w:r>
        <w:rPr>
          <w:rFonts w:eastAsia="Calibri"/>
          <w:bCs/>
          <w:color w:val="000000"/>
          <w:sz w:val="24"/>
          <w:szCs w:val="24"/>
        </w:rPr>
        <w:t>Видеообзор шторного полуприцепа с подъемной крышей:</w:t>
      </w:r>
    </w:p>
    <w:p w14:paraId="1AA35820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Cs/>
          <w:color w:val="000000"/>
          <w:sz w:val="24"/>
          <w:szCs w:val="24"/>
        </w:rPr>
      </w:pPr>
      <w:r>
        <w:fldChar w:fldCharType="begin"/>
      </w:r>
      <w:r>
        <w:instrText xml:space="preserve"> HYPERLINK "https://www.youtube.com/watch?v=6smcOANIPuc" </w:instrText>
      </w:r>
      <w:r>
        <w:fldChar w:fldCharType="separate"/>
      </w:r>
      <w:r>
        <w:rPr>
          <w:rStyle w:val="6"/>
          <w:rFonts w:eastAsia="Calibri"/>
          <w:bCs/>
          <w:sz w:val="24"/>
          <w:szCs w:val="24"/>
        </w:rPr>
        <w:t>https://www.youtube.com/watch?v=6smcOANIPuc</w:t>
      </w:r>
      <w:r>
        <w:rPr>
          <w:rStyle w:val="6"/>
          <w:rFonts w:eastAsia="Calibri"/>
          <w:bCs/>
          <w:sz w:val="24"/>
          <w:szCs w:val="24"/>
        </w:rPr>
        <w:fldChar w:fldCharType="end"/>
      </w:r>
    </w:p>
    <w:p w14:paraId="3FB2BBB2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Cs/>
          <w:color w:val="000000"/>
          <w:sz w:val="24"/>
          <w:szCs w:val="24"/>
        </w:rPr>
      </w:pPr>
      <w:r>
        <w:rPr>
          <w:rFonts w:eastAsia="Calibri"/>
          <w:bCs/>
          <w:color w:val="000000"/>
          <w:sz w:val="24"/>
          <w:szCs w:val="24"/>
        </w:rPr>
        <w:t>Видеобзор шторного полуприцепа 16,5 м.</w:t>
      </w:r>
    </w:p>
    <w:p w14:paraId="3F6413C8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Cs/>
          <w:color w:val="000000"/>
          <w:sz w:val="24"/>
          <w:szCs w:val="24"/>
        </w:rPr>
      </w:pPr>
      <w:r>
        <w:fldChar w:fldCharType="begin"/>
      </w:r>
      <w:r>
        <w:instrText xml:space="preserve"> HYPERLINK "https://www.youtube.com/watch?v=F8xOIrGorp4" </w:instrText>
      </w:r>
      <w:r>
        <w:fldChar w:fldCharType="separate"/>
      </w:r>
      <w:r>
        <w:rPr>
          <w:rStyle w:val="6"/>
          <w:rFonts w:eastAsia="Calibri"/>
          <w:bCs/>
          <w:sz w:val="24"/>
          <w:szCs w:val="24"/>
        </w:rPr>
        <w:t>https://www.youtube.com/watch?v=F8xOIrGorp4</w:t>
      </w:r>
      <w:r>
        <w:rPr>
          <w:rStyle w:val="6"/>
          <w:rFonts w:eastAsia="Calibri"/>
          <w:bCs/>
          <w:sz w:val="24"/>
          <w:szCs w:val="24"/>
        </w:rPr>
        <w:fldChar w:fldCharType="end"/>
      </w:r>
    </w:p>
    <w:tbl>
      <w:tblPr>
        <w:tblStyle w:val="4"/>
        <w:tblW w:w="10969" w:type="dxa"/>
        <w:tblInd w:w="-5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8"/>
        <w:gridCol w:w="7581"/>
      </w:tblGrid>
      <w:tr w14:paraId="6D35B8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969" w:type="dxa"/>
            <w:gridSpan w:val="2"/>
            <w:shd w:val="clear" w:color="auto" w:fill="D9D9D9"/>
            <w:noWrap w:val="0"/>
            <w:vAlign w:val="top"/>
          </w:tcPr>
          <w:p w14:paraId="734BCB55">
            <w:pPr>
              <w:rPr>
                <w:rFonts w:eastAsia="Calibri"/>
                <w:bCs/>
                <w:i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/>
                <w:color w:val="000000"/>
                <w:sz w:val="22"/>
                <w:szCs w:val="22"/>
              </w:rPr>
              <w:t>Технические характеристики</w:t>
            </w:r>
          </w:p>
        </w:tc>
      </w:tr>
      <w:tr w14:paraId="52B6A73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4E55D237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Высота ССУ, мм</w:t>
            </w:r>
          </w:p>
        </w:tc>
        <w:tc>
          <w:tcPr>
            <w:tcW w:w="7581" w:type="dxa"/>
            <w:noWrap w:val="0"/>
            <w:vAlign w:val="top"/>
          </w:tcPr>
          <w:p w14:paraId="2C9D6E42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1150</w:t>
            </w:r>
          </w:p>
        </w:tc>
      </w:tr>
      <w:tr w14:paraId="0113AD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3388" w:type="dxa"/>
            <w:noWrap w:val="0"/>
            <w:vAlign w:val="top"/>
          </w:tcPr>
          <w:p w14:paraId="0EBEB35C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Передняя внутренняя высота, мм</w:t>
            </w:r>
          </w:p>
        </w:tc>
        <w:tc>
          <w:tcPr>
            <w:tcW w:w="7581" w:type="dxa"/>
            <w:noWrap w:val="0"/>
            <w:vAlign w:val="top"/>
          </w:tcPr>
          <w:p w14:paraId="3B566372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2720</w:t>
            </w:r>
          </w:p>
        </w:tc>
      </w:tr>
      <w:tr w14:paraId="46F86F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388" w:type="dxa"/>
            <w:noWrap w:val="0"/>
            <w:vAlign w:val="top"/>
          </w:tcPr>
          <w:p w14:paraId="3A72B569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Задняя внутренняя высота, мм</w:t>
            </w:r>
          </w:p>
        </w:tc>
        <w:tc>
          <w:tcPr>
            <w:tcW w:w="7581" w:type="dxa"/>
            <w:noWrap w:val="0"/>
            <w:vAlign w:val="top"/>
          </w:tcPr>
          <w:p w14:paraId="7D0FCA18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2720</w:t>
            </w:r>
          </w:p>
        </w:tc>
      </w:tr>
      <w:tr w14:paraId="102C90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388" w:type="dxa"/>
            <w:noWrap w:val="0"/>
            <w:vAlign w:val="top"/>
          </w:tcPr>
          <w:p w14:paraId="5EEB7701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Полная высота в передней части, мм</w:t>
            </w:r>
          </w:p>
        </w:tc>
        <w:tc>
          <w:tcPr>
            <w:tcW w:w="7581" w:type="dxa"/>
            <w:noWrap w:val="0"/>
            <w:vAlign w:val="top"/>
          </w:tcPr>
          <w:p w14:paraId="25F4339D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4000</w:t>
            </w:r>
          </w:p>
        </w:tc>
      </w:tr>
      <w:tr w14:paraId="089053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388" w:type="dxa"/>
            <w:noWrap w:val="0"/>
            <w:vAlign w:val="top"/>
          </w:tcPr>
          <w:p w14:paraId="75A5B130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Полная высота в задней части, мм</w:t>
            </w:r>
          </w:p>
        </w:tc>
        <w:tc>
          <w:tcPr>
            <w:tcW w:w="7581" w:type="dxa"/>
            <w:noWrap w:val="0"/>
            <w:vAlign w:val="top"/>
          </w:tcPr>
          <w:p w14:paraId="6C5C1CD6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4000</w:t>
            </w:r>
          </w:p>
        </w:tc>
      </w:tr>
      <w:tr w14:paraId="24EB00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3984E09B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Вместимость европаллет, шт</w:t>
            </w:r>
          </w:p>
        </w:tc>
        <w:tc>
          <w:tcPr>
            <w:tcW w:w="7581" w:type="dxa"/>
            <w:noWrap w:val="0"/>
            <w:vAlign w:val="top"/>
          </w:tcPr>
          <w:p w14:paraId="588D5197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34</w:t>
            </w:r>
          </w:p>
        </w:tc>
      </w:tr>
      <w:tr w14:paraId="5F412C5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58E0A3D5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Нагрузка на ССУ, кг</w:t>
            </w:r>
          </w:p>
        </w:tc>
        <w:tc>
          <w:tcPr>
            <w:tcW w:w="7581" w:type="dxa"/>
            <w:noWrap w:val="0"/>
            <w:vAlign w:val="top"/>
          </w:tcPr>
          <w:p w14:paraId="2F050BFC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12000</w:t>
            </w:r>
          </w:p>
        </w:tc>
      </w:tr>
      <w:tr w14:paraId="3925AA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2802002C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Нагрузка на оси, кг</w:t>
            </w:r>
          </w:p>
        </w:tc>
        <w:tc>
          <w:tcPr>
            <w:tcW w:w="7581" w:type="dxa"/>
            <w:noWrap w:val="0"/>
            <w:vAlign w:val="top"/>
          </w:tcPr>
          <w:p w14:paraId="02BA1ADA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27000</w:t>
            </w:r>
          </w:p>
        </w:tc>
      </w:tr>
      <w:tr w14:paraId="18B8B5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388" w:type="dxa"/>
            <w:noWrap w:val="0"/>
            <w:vAlign w:val="top"/>
          </w:tcPr>
          <w:p w14:paraId="15DA7D18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Полная масса полуприцепа, кг</w:t>
            </w:r>
          </w:p>
        </w:tc>
        <w:tc>
          <w:tcPr>
            <w:tcW w:w="7581" w:type="dxa"/>
            <w:noWrap w:val="0"/>
            <w:vAlign w:val="top"/>
          </w:tcPr>
          <w:p w14:paraId="72B40251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39000</w:t>
            </w:r>
          </w:p>
        </w:tc>
      </w:tr>
      <w:tr w14:paraId="0C39A7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4A7FEE7E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Полная длинна, мм</w:t>
            </w:r>
          </w:p>
        </w:tc>
        <w:tc>
          <w:tcPr>
            <w:tcW w:w="7581" w:type="dxa"/>
            <w:noWrap w:val="0"/>
            <w:vAlign w:val="top"/>
          </w:tcPr>
          <w:p w14:paraId="07E9EB34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13680</w:t>
            </w:r>
          </w:p>
        </w:tc>
      </w:tr>
      <w:tr w14:paraId="2E7FF9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</w:trPr>
        <w:tc>
          <w:tcPr>
            <w:tcW w:w="3388" w:type="dxa"/>
            <w:noWrap w:val="0"/>
            <w:vAlign w:val="top"/>
          </w:tcPr>
          <w:p w14:paraId="5C0D8288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Полная внутренняя длинна, мм</w:t>
            </w:r>
          </w:p>
        </w:tc>
        <w:tc>
          <w:tcPr>
            <w:tcW w:w="7581" w:type="dxa"/>
            <w:noWrap w:val="0"/>
            <w:vAlign w:val="top"/>
          </w:tcPr>
          <w:p w14:paraId="35523E09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13610</w:t>
            </w:r>
          </w:p>
        </w:tc>
      </w:tr>
      <w:tr w14:paraId="4CFA1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447EB901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Полная ширина, мм</w:t>
            </w:r>
          </w:p>
        </w:tc>
        <w:tc>
          <w:tcPr>
            <w:tcW w:w="7581" w:type="dxa"/>
            <w:noWrap w:val="0"/>
            <w:vAlign w:val="top"/>
          </w:tcPr>
          <w:p w14:paraId="68FAC51D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2550</w:t>
            </w:r>
          </w:p>
        </w:tc>
      </w:tr>
      <w:tr w14:paraId="1E8A78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388" w:type="dxa"/>
            <w:noWrap w:val="0"/>
            <w:vAlign w:val="top"/>
          </w:tcPr>
          <w:p w14:paraId="275CD005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Полная внутренняя ширина, мм</w:t>
            </w:r>
          </w:p>
        </w:tc>
        <w:tc>
          <w:tcPr>
            <w:tcW w:w="7581" w:type="dxa"/>
            <w:noWrap w:val="0"/>
            <w:vAlign w:val="top"/>
          </w:tcPr>
          <w:p w14:paraId="4B5EAD91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2480</w:t>
            </w:r>
          </w:p>
        </w:tc>
      </w:tr>
      <w:tr w14:paraId="4DFAA0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6EA0AC56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Колёсная база, мм</w:t>
            </w:r>
          </w:p>
        </w:tc>
        <w:tc>
          <w:tcPr>
            <w:tcW w:w="7581" w:type="dxa"/>
            <w:noWrap w:val="0"/>
            <w:vAlign w:val="top"/>
          </w:tcPr>
          <w:p w14:paraId="692DE9D8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7700</w:t>
            </w:r>
          </w:p>
        </w:tc>
      </w:tr>
      <w:tr w14:paraId="5F3554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7F9C7F74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Высота гуська, мм</w:t>
            </w:r>
          </w:p>
        </w:tc>
        <w:tc>
          <w:tcPr>
            <w:tcW w:w="7581" w:type="dxa"/>
            <w:noWrap w:val="0"/>
            <w:vAlign w:val="top"/>
          </w:tcPr>
          <w:p w14:paraId="76A2ACD1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90</w:t>
            </w:r>
          </w:p>
        </w:tc>
      </w:tr>
      <w:tr w14:paraId="20860D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0E72F751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Масса полуприцепа, кг</w:t>
            </w:r>
          </w:p>
        </w:tc>
        <w:tc>
          <w:tcPr>
            <w:tcW w:w="7581" w:type="dxa"/>
            <w:noWrap w:val="0"/>
            <w:vAlign w:val="top"/>
          </w:tcPr>
          <w:p w14:paraId="09BC6905">
            <w:pPr>
              <w:jc w:val="center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/>
              </w:rPr>
              <w:t>7120</w:t>
            </w:r>
          </w:p>
        </w:tc>
      </w:tr>
      <w:tr w14:paraId="53B49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10969" w:type="dxa"/>
            <w:gridSpan w:val="2"/>
            <w:shd w:val="clear" w:color="auto" w:fill="D9D9D9"/>
            <w:noWrap w:val="0"/>
            <w:vAlign w:val="top"/>
          </w:tcPr>
          <w:p w14:paraId="565B7238">
            <w:pPr>
              <w:rPr>
                <w:rFonts w:eastAsia="Calibri"/>
                <w:bCs/>
                <w:i/>
                <w:color w:val="000000"/>
                <w:sz w:val="22"/>
                <w:szCs w:val="22"/>
                <w:highlight w:val="yellow"/>
              </w:rPr>
            </w:pPr>
            <w:r>
              <w:rPr>
                <w:rFonts w:eastAsia="Calibri"/>
                <w:bCs/>
                <w:i/>
                <w:color w:val="000000"/>
                <w:sz w:val="22"/>
                <w:szCs w:val="22"/>
              </w:rPr>
              <w:t>Комплектация</w:t>
            </w:r>
          </w:p>
        </w:tc>
      </w:tr>
      <w:tr w14:paraId="09F766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6" w:hRule="atLeast"/>
        </w:trPr>
        <w:tc>
          <w:tcPr>
            <w:tcW w:w="3388" w:type="dxa"/>
            <w:noWrap w:val="0"/>
            <w:vAlign w:val="top"/>
          </w:tcPr>
          <w:p w14:paraId="3C263465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Шасси</w:t>
            </w:r>
          </w:p>
        </w:tc>
        <w:tc>
          <w:tcPr>
            <w:tcW w:w="7581" w:type="dxa"/>
            <w:noWrap w:val="0"/>
            <w:vAlign w:val="top"/>
          </w:tcPr>
          <w:p w14:paraId="12253096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Изготовлено из высококачественной и высокопрочной стали S460 MC, в соответствии со стандартом ISO 1726-2. Изготовлен из двух сварных продольных балок в форме " I " с поперечными балками на необходимом расстоянии. Обработано KTL (гарантия на сквозную коррозию 10 лет)</w:t>
            </w:r>
          </w:p>
        </w:tc>
      </w:tr>
      <w:tr w14:paraId="4B3AD6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3388" w:type="dxa"/>
            <w:noWrap w:val="0"/>
            <w:vAlign w:val="top"/>
          </w:tcPr>
          <w:p w14:paraId="566677B7">
            <w:pPr>
              <w:rPr>
                <w:rFonts w:eastAsia="Calibri"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/>
              </w:rPr>
              <w:t>K-Fix</w:t>
            </w:r>
          </w:p>
        </w:tc>
        <w:tc>
          <w:tcPr>
            <w:tcW w:w="7581" w:type="dxa"/>
            <w:noWrap w:val="0"/>
            <w:vAlign w:val="top"/>
          </w:tcPr>
          <w:p w14:paraId="675AFF0D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118 отверстий на боковом рейве с двух сторон, каждые 70 мм., что позволяет увеличить вариации крепления груза. Каждая точка крепления груза K-Fix выдерживает нагрузку до  2500 кг.</w:t>
            </w:r>
          </w:p>
        </w:tc>
      </w:tr>
      <w:tr w14:paraId="2C92AB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375299E0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Оси</w:t>
            </w:r>
          </w:p>
        </w:tc>
        <w:tc>
          <w:tcPr>
            <w:tcW w:w="7581" w:type="dxa"/>
            <w:noWrap w:val="0"/>
            <w:vAlign w:val="top"/>
          </w:tcPr>
          <w:p w14:paraId="0DEB69C5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9х3 оси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BPW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 с дисковыми тормозами</w:t>
            </w:r>
          </w:p>
        </w:tc>
      </w:tr>
      <w:tr w14:paraId="4A2BA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</w:trPr>
        <w:tc>
          <w:tcPr>
            <w:tcW w:w="3388" w:type="dxa"/>
            <w:noWrap w:val="0"/>
            <w:vAlign w:val="top"/>
          </w:tcPr>
          <w:p w14:paraId="337FB435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Подъёмная ось</w:t>
            </w:r>
          </w:p>
        </w:tc>
        <w:tc>
          <w:tcPr>
            <w:tcW w:w="7581" w:type="dxa"/>
            <w:noWrap w:val="0"/>
            <w:vAlign w:val="top"/>
          </w:tcPr>
          <w:p w14:paraId="5A631663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Есть</w:t>
            </w:r>
          </w:p>
        </w:tc>
      </w:tr>
      <w:tr w14:paraId="20A431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" w:hRule="atLeast"/>
        </w:trPr>
        <w:tc>
          <w:tcPr>
            <w:tcW w:w="3388" w:type="dxa"/>
            <w:noWrap w:val="0"/>
            <w:vAlign w:val="top"/>
          </w:tcPr>
          <w:p w14:paraId="751A0622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Счетчик пробега</w:t>
            </w:r>
          </w:p>
        </w:tc>
        <w:tc>
          <w:tcPr>
            <w:tcW w:w="7581" w:type="dxa"/>
            <w:noWrap w:val="0"/>
            <w:vAlign w:val="top"/>
          </w:tcPr>
          <w:p w14:paraId="67FE9A94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Отсутствует в данной комплектации</w:t>
            </w:r>
          </w:p>
        </w:tc>
      </w:tr>
      <w:tr w14:paraId="73E459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3388" w:type="dxa"/>
            <w:noWrap w:val="0"/>
            <w:vAlign w:val="top"/>
          </w:tcPr>
          <w:p w14:paraId="0AA7AE11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Электросистема</w:t>
            </w:r>
          </w:p>
        </w:tc>
        <w:tc>
          <w:tcPr>
            <w:tcW w:w="7581" w:type="dxa"/>
            <w:noWrap w:val="0"/>
            <w:vAlign w:val="top"/>
          </w:tcPr>
          <w:p w14:paraId="679C45E9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ASPÖCK Europoint III 24V, контактными разъемами 2х7 и 1х15, в соответсвии с правилами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UN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ECE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R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48 и требованию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ADR</w:t>
            </w:r>
          </w:p>
        </w:tc>
      </w:tr>
      <w:tr w14:paraId="7AE127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1" w:hRule="atLeast"/>
        </w:trPr>
        <w:tc>
          <w:tcPr>
            <w:tcW w:w="3388" w:type="dxa"/>
            <w:noWrap w:val="0"/>
            <w:vAlign w:val="top"/>
          </w:tcPr>
          <w:p w14:paraId="4E3B0A2F">
            <w:pP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</w:p>
          <w:p w14:paraId="0BCBC66A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Тормозная система</w:t>
            </w:r>
          </w:p>
        </w:tc>
        <w:tc>
          <w:tcPr>
            <w:tcW w:w="7581" w:type="dxa"/>
            <w:noWrap w:val="0"/>
            <w:vAlign w:val="top"/>
          </w:tcPr>
          <w:p w14:paraId="6657402D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Антиблокировочная система (ABS соответствует UN ECE R13. Тормозная система EBS 2S / 2M с электропневматической двухконтурной системой , (RSS) </w:t>
            </w:r>
          </w:p>
        </w:tc>
      </w:tr>
      <w:tr w14:paraId="58B75C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3388" w:type="dxa"/>
            <w:noWrap w:val="0"/>
            <w:vAlign w:val="top"/>
          </w:tcPr>
          <w:p w14:paraId="24615FE4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Управление подвеской</w:t>
            </w:r>
          </w:p>
        </w:tc>
        <w:tc>
          <w:tcPr>
            <w:tcW w:w="7581" w:type="dxa"/>
            <w:noWrap w:val="0"/>
            <w:vAlign w:val="top"/>
          </w:tcPr>
          <w:p w14:paraId="58ECF307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Рычаг управления подвеской установлен в задней левой части полуприцепа для регулировки погрузочной высоты.</w:t>
            </w:r>
          </w:p>
        </w:tc>
      </w:tr>
    </w:tbl>
    <w:tbl>
      <w:tblPr>
        <w:tblStyle w:val="4"/>
        <w:tblpPr w:leftFromText="180" w:rightFromText="180" w:vertAnchor="text" w:horzAnchor="margin" w:tblpXSpec="center" w:tblpY="217"/>
        <w:tblW w:w="109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69"/>
        <w:gridCol w:w="7581"/>
      </w:tblGrid>
      <w:tr w14:paraId="3A3164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369" w:type="dxa"/>
            <w:noWrap w:val="0"/>
            <w:vAlign w:val="top"/>
          </w:tcPr>
          <w:p w14:paraId="2A37AE75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Размер шин</w:t>
            </w:r>
          </w:p>
        </w:tc>
        <w:tc>
          <w:tcPr>
            <w:tcW w:w="7581" w:type="dxa"/>
            <w:noWrap w:val="0"/>
            <w:vAlign w:val="top"/>
          </w:tcPr>
          <w:p w14:paraId="07DBE2F0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385/65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R22.5</w:t>
            </w:r>
          </w:p>
        </w:tc>
      </w:tr>
      <w:tr w14:paraId="41506F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noWrap w:val="0"/>
            <w:vAlign w:val="top"/>
          </w:tcPr>
          <w:p w14:paraId="18009EBD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Количество колёс, шт</w:t>
            </w:r>
          </w:p>
        </w:tc>
        <w:tc>
          <w:tcPr>
            <w:tcW w:w="7581" w:type="dxa"/>
            <w:noWrap w:val="0"/>
            <w:vAlign w:val="top"/>
          </w:tcPr>
          <w:p w14:paraId="488ABE94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6+1</w:t>
            </w:r>
          </w:p>
        </w:tc>
      </w:tr>
      <w:tr w14:paraId="60D2F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3369" w:type="dxa"/>
            <w:noWrap w:val="0"/>
            <w:vAlign w:val="top"/>
          </w:tcPr>
          <w:p w14:paraId="171ECFC9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Марка шин</w:t>
            </w:r>
          </w:p>
        </w:tc>
        <w:tc>
          <w:tcPr>
            <w:tcW w:w="7581" w:type="dxa"/>
            <w:noWrap w:val="0"/>
            <w:vAlign w:val="top"/>
          </w:tcPr>
          <w:p w14:paraId="27670422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/>
              </w:rPr>
              <w:t>Pirelli ST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25</w:t>
            </w:r>
          </w:p>
        </w:tc>
      </w:tr>
      <w:tr w14:paraId="1A675A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noWrap w:val="0"/>
            <w:vAlign w:val="top"/>
          </w:tcPr>
          <w:p w14:paraId="70A5C039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Тип колёсных дисков</w:t>
            </w:r>
          </w:p>
        </w:tc>
        <w:tc>
          <w:tcPr>
            <w:tcW w:w="7581" w:type="dxa"/>
            <w:noWrap w:val="0"/>
            <w:vAlign w:val="top"/>
          </w:tcPr>
          <w:p w14:paraId="6D8E55A2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Стальные</w:t>
            </w:r>
          </w:p>
        </w:tc>
      </w:tr>
      <w:tr w14:paraId="33CE0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" w:hRule="atLeast"/>
        </w:trPr>
        <w:tc>
          <w:tcPr>
            <w:tcW w:w="3369" w:type="dxa"/>
            <w:noWrap w:val="0"/>
            <w:vAlign w:val="top"/>
          </w:tcPr>
          <w:p w14:paraId="6995DC38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Марка колёсных дисков</w:t>
            </w:r>
          </w:p>
        </w:tc>
        <w:tc>
          <w:tcPr>
            <w:tcW w:w="7581" w:type="dxa"/>
            <w:noWrap w:val="0"/>
            <w:vAlign w:val="top"/>
          </w:tcPr>
          <w:p w14:paraId="33AF59AC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выбор </w:t>
            </w:r>
            <w:r>
              <w:rPr>
                <w:bCs/>
                <w:color w:val="000000"/>
                <w:sz w:val="22"/>
                <w:szCs w:val="22"/>
                <w:lang w:eastAsia="ru-RU"/>
              </w:rPr>
              <w:t>Баутек</w:t>
            </w:r>
          </w:p>
        </w:tc>
      </w:tr>
      <w:tr w14:paraId="6C0BB3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3369" w:type="dxa"/>
            <w:noWrap w:val="0"/>
            <w:vAlign w:val="top"/>
          </w:tcPr>
          <w:p w14:paraId="5AF1E14B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Держатель запасного колеса</w:t>
            </w:r>
          </w:p>
        </w:tc>
        <w:tc>
          <w:tcPr>
            <w:tcW w:w="7581" w:type="dxa"/>
            <w:noWrap w:val="0"/>
            <w:vAlign w:val="top"/>
          </w:tcPr>
          <w:p w14:paraId="432212E6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Держатели для двух запасных колес расположены перед осевым агрегатом.</w:t>
            </w:r>
          </w:p>
        </w:tc>
      </w:tr>
      <w:tr w14:paraId="2150F6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noWrap w:val="0"/>
            <w:vAlign w:val="top"/>
          </w:tcPr>
          <w:p w14:paraId="2D3F2A3A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Опорное устройство</w:t>
            </w:r>
          </w:p>
        </w:tc>
        <w:tc>
          <w:tcPr>
            <w:tcW w:w="7581" w:type="dxa"/>
            <w:noWrap w:val="0"/>
            <w:vAlign w:val="top"/>
          </w:tcPr>
          <w:p w14:paraId="1928408C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Механическое с допустимой грузоподъемностью 24 тонны в соответствии со стандартом ISO 1726</w:t>
            </w:r>
          </w:p>
        </w:tc>
      </w:tr>
      <w:tr w14:paraId="5A54A3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noWrap w:val="0"/>
            <w:vAlign w:val="top"/>
          </w:tcPr>
          <w:p w14:paraId="7E16D243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Натяжитель боковой шторы</w:t>
            </w:r>
          </w:p>
        </w:tc>
        <w:tc>
          <w:tcPr>
            <w:tcW w:w="7581" w:type="dxa"/>
            <w:noWrap w:val="0"/>
            <w:vAlign w:val="top"/>
          </w:tcPr>
          <w:p w14:paraId="6057F18C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Натяжитель боковой шторы находится в задней части</w:t>
            </w:r>
          </w:p>
        </w:tc>
      </w:tr>
      <w:tr w14:paraId="61384A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noWrap w:val="0"/>
            <w:vAlign w:val="top"/>
          </w:tcPr>
          <w:p w14:paraId="7D1A9576">
            <w:pPr>
              <w:rPr>
                <w:rFonts w:eastAsia="Calibri"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/>
              </w:rPr>
              <w:t>Code XL</w:t>
            </w:r>
          </w:p>
        </w:tc>
        <w:tc>
          <w:tcPr>
            <w:tcW w:w="7581" w:type="dxa"/>
            <w:noWrap w:val="0"/>
            <w:vAlign w:val="top"/>
          </w:tcPr>
          <w:p w14:paraId="02C47733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Выдаётся сертификат соответствия </w:t>
            </w:r>
          </w:p>
        </w:tc>
      </w:tr>
      <w:tr w14:paraId="2BEA5A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2" w:hRule="atLeast"/>
        </w:trPr>
        <w:tc>
          <w:tcPr>
            <w:tcW w:w="3369" w:type="dxa"/>
            <w:noWrap w:val="0"/>
            <w:vAlign w:val="top"/>
          </w:tcPr>
          <w:p w14:paraId="34AFA6A9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 xml:space="preserve">Обрешётка </w:t>
            </w:r>
          </w:p>
        </w:tc>
        <w:tc>
          <w:tcPr>
            <w:tcW w:w="7581" w:type="dxa"/>
            <w:noWrap w:val="0"/>
            <w:vAlign w:val="top"/>
          </w:tcPr>
          <w:p w14:paraId="574C1AF8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Обрешётка из алюминиевых панелей 20 х 2 шт.</w:t>
            </w:r>
          </w:p>
        </w:tc>
      </w:tr>
      <w:tr w14:paraId="33DBC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369" w:type="dxa"/>
            <w:noWrap w:val="0"/>
            <w:vAlign w:val="top"/>
          </w:tcPr>
          <w:p w14:paraId="777E67F5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Карманы для обрешетки</w:t>
            </w:r>
          </w:p>
        </w:tc>
        <w:tc>
          <w:tcPr>
            <w:tcW w:w="7581" w:type="dxa"/>
            <w:noWrap w:val="0"/>
            <w:vAlign w:val="top"/>
          </w:tcPr>
          <w:p w14:paraId="3E4D4282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4 кармана для установки обрешётки на верхней части сдвижной стойки и дополнительный карман в нижней части сдвижной стойки высотой 450 мм.</w:t>
            </w:r>
          </w:p>
        </w:tc>
      </w:tr>
      <w:tr w14:paraId="0163AA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" w:hRule="atLeast"/>
        </w:trPr>
        <w:tc>
          <w:tcPr>
            <w:tcW w:w="3369" w:type="dxa"/>
            <w:noWrap w:val="0"/>
            <w:vAlign w:val="top"/>
          </w:tcPr>
          <w:p w14:paraId="2AC7033E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Боковые стойки</w:t>
            </w:r>
          </w:p>
        </w:tc>
        <w:tc>
          <w:tcPr>
            <w:tcW w:w="7581" w:type="dxa"/>
            <w:noWrap w:val="0"/>
            <w:vAlign w:val="top"/>
          </w:tcPr>
          <w:p w14:paraId="52F6EDA8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3 х 2 шт. раздвижные боковые стойки.</w:t>
            </w:r>
          </w:p>
        </w:tc>
      </w:tr>
      <w:tr w14:paraId="7C72E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noWrap w:val="0"/>
            <w:vAlign w:val="top"/>
          </w:tcPr>
          <w:p w14:paraId="0A90370B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Борта</w:t>
            </w:r>
          </w:p>
        </w:tc>
        <w:tc>
          <w:tcPr>
            <w:tcW w:w="7581" w:type="dxa"/>
            <w:noWrap w:val="0"/>
            <w:vAlign w:val="top"/>
          </w:tcPr>
          <w:p w14:paraId="2B49FD8C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Есть</w:t>
            </w:r>
          </w:p>
        </w:tc>
      </w:tr>
      <w:tr w14:paraId="49146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369" w:type="dxa"/>
            <w:noWrap w:val="0"/>
            <w:vAlign w:val="top"/>
          </w:tcPr>
          <w:p w14:paraId="074C87B0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</w:p>
          <w:p w14:paraId="7CACECD4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Пол</w:t>
            </w:r>
          </w:p>
        </w:tc>
        <w:tc>
          <w:tcPr>
            <w:tcW w:w="7581" w:type="dxa"/>
            <w:noWrap w:val="0"/>
            <w:vAlign w:val="top"/>
          </w:tcPr>
          <w:p w14:paraId="29DF51BB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Пол из влагостойкой фанеры толщиной 30 мм. обработан феноловой смолой, допустимая нагрузка на ось погрузчика 7.200 кг в соответствии с DIN EN 283</w:t>
            </w:r>
          </w:p>
        </w:tc>
      </w:tr>
      <w:tr w14:paraId="507AE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</w:trPr>
        <w:tc>
          <w:tcPr>
            <w:tcW w:w="3369" w:type="dxa"/>
            <w:noWrap w:val="0"/>
            <w:vAlign w:val="top"/>
          </w:tcPr>
          <w:p w14:paraId="7CEE7189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Тип крыши</w:t>
            </w:r>
          </w:p>
        </w:tc>
        <w:tc>
          <w:tcPr>
            <w:tcW w:w="7581" w:type="dxa"/>
            <w:noWrap w:val="0"/>
            <w:vAlign w:val="top"/>
          </w:tcPr>
          <w:p w14:paraId="0B9DB007">
            <w:pPr>
              <w:pStyle w:val="15"/>
              <w:shd w:val="clear" w:color="auto" w:fill="F8F9FA"/>
              <w:spacing w:line="540" w:lineRule="atLeast"/>
              <w:rPr>
                <w:rFonts w:ascii="Times New Roman" w:hAnsi="Times New Roman" w:cs="Times New Roman"/>
                <w:bCs/>
                <w:color w:val="202124"/>
                <w:sz w:val="22"/>
                <w:szCs w:val="22"/>
              </w:rPr>
            </w:pPr>
            <w:r>
              <w:rPr>
                <w:rFonts w:ascii="Times New Roman" w:hAnsi="Times New Roman" w:eastAsia="Calibri" w:cs="Times New Roman"/>
                <w:bCs/>
                <w:iCs/>
                <w:color w:val="000000"/>
                <w:sz w:val="22"/>
                <w:szCs w:val="22"/>
                <w:lang w:val="en-US"/>
              </w:rPr>
              <w:t>EDSCHA</w:t>
            </w:r>
            <w:r>
              <w:rPr>
                <w:rFonts w:ascii="Times New Roman" w:hAnsi="Times New Roman" w:eastAsia="Calibri" w:cs="Times New Roman"/>
                <w:bCs/>
                <w:iCs/>
                <w:color w:val="000000"/>
                <w:sz w:val="22"/>
                <w:szCs w:val="22"/>
              </w:rPr>
              <w:t xml:space="preserve">, </w:t>
            </w:r>
            <w:r>
              <w:rPr>
                <w:rStyle w:val="39"/>
                <w:rFonts w:ascii="Times New Roman" w:hAnsi="Times New Roman" w:cs="Times New Roman"/>
                <w:bCs/>
                <w:color w:val="202124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202124"/>
                <w:sz w:val="22"/>
                <w:szCs w:val="22"/>
              </w:rPr>
              <w:t>односторонняя сдвижная крыша, открывающаяся сзади</w:t>
            </w:r>
          </w:p>
        </w:tc>
      </w:tr>
      <w:tr w14:paraId="4A62AF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3369" w:type="dxa"/>
            <w:noWrap w:val="0"/>
            <w:vAlign w:val="top"/>
          </w:tcPr>
          <w:p w14:paraId="5731AADD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Ворота</w:t>
            </w:r>
          </w:p>
        </w:tc>
        <w:tc>
          <w:tcPr>
            <w:tcW w:w="7581" w:type="dxa"/>
            <w:noWrap w:val="0"/>
            <w:vAlign w:val="top"/>
          </w:tcPr>
          <w:p w14:paraId="6DBBD4A5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Двухстворчатая дверь из алюминиевого профиля на 4-х петлях, со встроенными замками (по два на каждой створке двери)</w:t>
            </w:r>
          </w:p>
        </w:tc>
      </w:tr>
      <w:tr w14:paraId="365C70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3" w:hRule="atLeast"/>
        </w:trPr>
        <w:tc>
          <w:tcPr>
            <w:tcW w:w="3369" w:type="dxa"/>
            <w:noWrap w:val="0"/>
            <w:vAlign w:val="top"/>
          </w:tcPr>
          <w:p w14:paraId="0A455E43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</w:p>
          <w:p w14:paraId="49CC68AC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Передняя панель</w:t>
            </w:r>
          </w:p>
        </w:tc>
        <w:tc>
          <w:tcPr>
            <w:tcW w:w="7581" w:type="dxa"/>
            <w:noWrap w:val="0"/>
            <w:vAlign w:val="top"/>
          </w:tcPr>
          <w:p w14:paraId="4E2D3144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Передняя стальная панель обработанная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KTL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 (гарантия на сквозную коррозию 10 лет)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c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 установленной с внутренней стороны защитной панелью из влагостойкой фанеры высотой 1220 мм.</w:t>
            </w:r>
          </w:p>
        </w:tc>
      </w:tr>
      <w:tr w14:paraId="714ABF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369" w:type="dxa"/>
            <w:noWrap w:val="0"/>
            <w:vAlign w:val="top"/>
          </w:tcPr>
          <w:p w14:paraId="2A554388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Боковая защита</w:t>
            </w:r>
          </w:p>
        </w:tc>
        <w:tc>
          <w:tcPr>
            <w:tcW w:w="7581" w:type="dxa"/>
            <w:noWrap w:val="0"/>
            <w:vAlign w:val="top"/>
          </w:tcPr>
          <w:p w14:paraId="3D947474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Боковая защита из стального профиля с покрытием KTL может быть сложена вверх в соответствии с</w:t>
            </w:r>
          </w:p>
          <w:p w14:paraId="1DC7F82F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защита от обгона в соответствии с правилами ЕЭК ООН R73</w:t>
            </w:r>
          </w:p>
        </w:tc>
      </w:tr>
      <w:tr w14:paraId="36E4C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noWrap w:val="0"/>
            <w:vAlign w:val="top"/>
          </w:tcPr>
          <w:p w14:paraId="6B5E696D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Задний отбойник</w:t>
            </w:r>
          </w:p>
        </w:tc>
        <w:tc>
          <w:tcPr>
            <w:tcW w:w="7581" w:type="dxa"/>
            <w:noWrap w:val="0"/>
            <w:vAlign w:val="top"/>
          </w:tcPr>
          <w:p w14:paraId="0090D958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«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L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»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 xml:space="preserve">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тип, стальной</w:t>
            </w:r>
          </w:p>
        </w:tc>
      </w:tr>
      <w:tr w14:paraId="6E3596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" w:hRule="atLeast"/>
        </w:trPr>
        <w:tc>
          <w:tcPr>
            <w:tcW w:w="3369" w:type="dxa"/>
            <w:noWrap w:val="0"/>
            <w:vAlign w:val="top"/>
          </w:tcPr>
          <w:p w14:paraId="1053DA72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Брызговики</w:t>
            </w:r>
          </w:p>
        </w:tc>
        <w:tc>
          <w:tcPr>
            <w:tcW w:w="7581" w:type="dxa"/>
            <w:noWrap w:val="0"/>
            <w:vAlign w:val="top"/>
          </w:tcPr>
          <w:p w14:paraId="3BDDAFB2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В соответствии с требованиями EU 109/2011</w:t>
            </w:r>
          </w:p>
        </w:tc>
      </w:tr>
      <w:tr w14:paraId="0FA9B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noWrap w:val="0"/>
            <w:vAlign w:val="top"/>
          </w:tcPr>
          <w:p w14:paraId="140B73AB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Ящик для инструментов</w:t>
            </w:r>
          </w:p>
        </w:tc>
        <w:tc>
          <w:tcPr>
            <w:tcW w:w="7581" w:type="dxa"/>
            <w:noWrap w:val="0"/>
            <w:vAlign w:val="top"/>
          </w:tcPr>
          <w:p w14:paraId="575FAFA4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Один пластиковый ящик для инструментов. 450х480х600 мм. Расположен за осями</w:t>
            </w:r>
          </w:p>
        </w:tc>
      </w:tr>
      <w:tr w14:paraId="1EAD66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noWrap w:val="0"/>
            <w:vAlign w:val="top"/>
          </w:tcPr>
          <w:p w14:paraId="533DC0E4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/>
                <w:iCs/>
                <w:color w:val="000000"/>
                <w:sz w:val="22"/>
                <w:szCs w:val="22"/>
                <w:lang w:val="ru-RU"/>
              </w:rPr>
              <w:t>Кронштейны</w:t>
            </w:r>
            <w:r>
              <w:rPr>
                <w:rFonts w:hint="default" w:eastAsia="Calibri"/>
                <w:b/>
                <w:iCs/>
                <w:color w:val="000000"/>
                <w:sz w:val="22"/>
                <w:szCs w:val="22"/>
                <w:lang w:val="ru-RU"/>
              </w:rPr>
              <w:t xml:space="preserve"> для хранения коников</w:t>
            </w:r>
          </w:p>
        </w:tc>
        <w:tc>
          <w:tcPr>
            <w:tcW w:w="7581" w:type="dxa"/>
            <w:noWrap w:val="0"/>
            <w:vAlign w:val="top"/>
          </w:tcPr>
          <w:p w14:paraId="211A46B6">
            <w:pPr>
              <w:jc w:val="both"/>
              <w:rPr>
                <w:rFonts w:hint="default" w:eastAsia="Calibri"/>
                <w:bCs/>
                <w:iCs/>
                <w:color w:val="000000"/>
                <w:sz w:val="22"/>
                <w:szCs w:val="22"/>
                <w:lang w:val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ru-RU"/>
              </w:rPr>
              <w:t>Есть</w:t>
            </w:r>
          </w:p>
        </w:tc>
      </w:tr>
      <w:tr w14:paraId="5F14B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3369" w:type="dxa"/>
            <w:noWrap w:val="0"/>
            <w:vAlign w:val="top"/>
          </w:tcPr>
          <w:p w14:paraId="32F1867E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Тип заднего противоподкатного бруса</w:t>
            </w:r>
          </w:p>
        </w:tc>
        <w:tc>
          <w:tcPr>
            <w:tcW w:w="7581" w:type="dxa"/>
            <w:noWrap w:val="0"/>
            <w:vAlign w:val="top"/>
          </w:tcPr>
          <w:p w14:paraId="3E009465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Фиксированный задний противоподкатный брус в соответствии с UN ECE R58.3</w:t>
            </w:r>
          </w:p>
        </w:tc>
      </w:tr>
    </w:tbl>
    <w:tbl>
      <w:tblPr>
        <w:tblStyle w:val="4"/>
        <w:tblpPr w:leftFromText="180" w:rightFromText="180" w:vertAnchor="text" w:horzAnchor="page" w:tblpX="590" w:tblpY="531"/>
        <w:tblOverlap w:val="never"/>
        <w:tblW w:w="1091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83"/>
        <w:gridCol w:w="7532"/>
      </w:tblGrid>
      <w:tr w14:paraId="76F309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3383" w:type="dxa"/>
            <w:vMerge w:val="restart"/>
            <w:noWrap w:val="0"/>
            <w:vAlign w:val="top"/>
          </w:tcPr>
          <w:p w14:paraId="37C2C9D9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</w:p>
          <w:p w14:paraId="3A009A30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Светоотражающие полосы</w:t>
            </w:r>
          </w:p>
        </w:tc>
        <w:tc>
          <w:tcPr>
            <w:tcW w:w="7532" w:type="dxa"/>
            <w:noWrap w:val="0"/>
            <w:vAlign w:val="center"/>
          </w:tcPr>
          <w:p w14:paraId="7850E02F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Красная светоотражающая полоса на створках ворот согласно UN ECE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R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70</w:t>
            </w:r>
          </w:p>
        </w:tc>
      </w:tr>
      <w:tr w14:paraId="30AF1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3383" w:type="dxa"/>
            <w:vMerge w:val="continue"/>
            <w:noWrap w:val="0"/>
            <w:vAlign w:val="top"/>
          </w:tcPr>
          <w:p w14:paraId="5D812E48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</w:p>
        </w:tc>
        <w:tc>
          <w:tcPr>
            <w:tcW w:w="7532" w:type="dxa"/>
            <w:noWrap w:val="0"/>
            <w:vAlign w:val="top"/>
          </w:tcPr>
          <w:p w14:paraId="7C225F32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Белая светоотражающая полоса по всей длине бо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hnjd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 xml:space="preserve"> согласно UN ECE 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R</w:t>
            </w: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70</w:t>
            </w:r>
          </w:p>
        </w:tc>
      </w:tr>
      <w:tr w14:paraId="7EC9BE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3383" w:type="dxa"/>
            <w:noWrap w:val="0"/>
            <w:vAlign w:val="top"/>
          </w:tcPr>
          <w:p w14:paraId="19D2ABCB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Лестница</w:t>
            </w:r>
          </w:p>
        </w:tc>
        <w:tc>
          <w:tcPr>
            <w:tcW w:w="7532" w:type="dxa"/>
            <w:noWrap w:val="0"/>
            <w:vAlign w:val="top"/>
          </w:tcPr>
          <w:p w14:paraId="5A6974DF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Задняя выдвижная лестница для доступа в полуприцеп</w:t>
            </w:r>
          </w:p>
        </w:tc>
      </w:tr>
      <w:tr w14:paraId="4E7004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2" w:hRule="atLeast"/>
        </w:trPr>
        <w:tc>
          <w:tcPr>
            <w:tcW w:w="3383" w:type="dxa"/>
            <w:noWrap w:val="0"/>
            <w:vAlign w:val="top"/>
          </w:tcPr>
          <w:p w14:paraId="0086E755">
            <w:pPr>
              <w:rPr>
                <w:rFonts w:eastAsia="Calibri"/>
                <w:bCs/>
                <w:iCs/>
                <w:sz w:val="22"/>
                <w:szCs w:val="22"/>
              </w:rPr>
            </w:pPr>
            <w:r>
              <w:rPr>
                <w:bCs/>
                <w:sz w:val="22"/>
                <w:szCs w:val="22"/>
                <w:lang w:eastAsia="ru-RU"/>
              </w:rPr>
              <w:t>Дополнительная Безопасность Груза</w:t>
            </w:r>
          </w:p>
        </w:tc>
        <w:tc>
          <w:tcPr>
            <w:tcW w:w="7532" w:type="dxa"/>
            <w:noWrap w:val="0"/>
            <w:vAlign w:val="top"/>
          </w:tcPr>
          <w:p w14:paraId="737D9EEA">
            <w:pPr>
              <w:jc w:val="both"/>
              <w:rPr>
                <w:rFonts w:eastAsia="Calibri"/>
                <w:bCs/>
                <w:iCs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 xml:space="preserve">81 х 81 мм. 14 шт по краям полуприцепа и 5 отверстий под конники в центре полуприцепа. </w:t>
            </w:r>
          </w:p>
        </w:tc>
      </w:tr>
      <w:tr w14:paraId="7B0CE5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383" w:type="dxa"/>
            <w:noWrap w:val="0"/>
            <w:vAlign w:val="top"/>
          </w:tcPr>
          <w:p w14:paraId="4F8A8826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Таможенное исполнение</w:t>
            </w:r>
          </w:p>
        </w:tc>
        <w:tc>
          <w:tcPr>
            <w:tcW w:w="7532" w:type="dxa"/>
            <w:noWrap w:val="0"/>
            <w:vAlign w:val="top"/>
          </w:tcPr>
          <w:p w14:paraId="6FCC4FF8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val="en-US" w:eastAsia="ru-RU"/>
              </w:rPr>
              <w:t>TIR</w:t>
            </w:r>
          </w:p>
        </w:tc>
      </w:tr>
      <w:tr w14:paraId="47650A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</w:trPr>
        <w:tc>
          <w:tcPr>
            <w:tcW w:w="3383" w:type="dxa"/>
            <w:noWrap w:val="0"/>
            <w:vAlign w:val="top"/>
          </w:tcPr>
          <w:p w14:paraId="1B9C096B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Противооткатные упоры</w:t>
            </w:r>
          </w:p>
        </w:tc>
        <w:tc>
          <w:tcPr>
            <w:tcW w:w="7532" w:type="dxa"/>
            <w:noWrap w:val="0"/>
            <w:vAlign w:val="top"/>
          </w:tcPr>
          <w:p w14:paraId="2E51DCC3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2 шт. противооткатные упоры</w:t>
            </w:r>
          </w:p>
        </w:tc>
      </w:tr>
      <w:tr w14:paraId="28B3B6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383" w:type="dxa"/>
            <w:noWrap w:val="0"/>
            <w:vAlign w:val="top"/>
          </w:tcPr>
          <w:p w14:paraId="72081AF4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Цвет шасси</w:t>
            </w:r>
          </w:p>
        </w:tc>
        <w:tc>
          <w:tcPr>
            <w:tcW w:w="7532" w:type="dxa"/>
            <w:noWrap w:val="0"/>
            <w:vAlign w:val="top"/>
          </w:tcPr>
          <w:p w14:paraId="40897478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MB7350 Nova Grey</w:t>
            </w:r>
          </w:p>
        </w:tc>
      </w:tr>
      <w:tr w14:paraId="51FC77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383" w:type="dxa"/>
            <w:noWrap w:val="0"/>
            <w:vAlign w:val="top"/>
          </w:tcPr>
          <w:p w14:paraId="08BA87C7">
            <w:pPr>
              <w:rPr>
                <w:rFonts w:eastAsia="Calibri"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Цвет бокового тента</w:t>
            </w:r>
          </w:p>
        </w:tc>
        <w:tc>
          <w:tcPr>
            <w:tcW w:w="7532" w:type="dxa"/>
            <w:noWrap w:val="0"/>
            <w:vAlign w:val="top"/>
          </w:tcPr>
          <w:p w14:paraId="6F258C4D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RAL 9016 Traffic white</w:t>
            </w:r>
          </w:p>
        </w:tc>
      </w:tr>
      <w:tr w14:paraId="7CE108F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383" w:type="dxa"/>
            <w:noWrap w:val="0"/>
            <w:vAlign w:val="top"/>
          </w:tcPr>
          <w:p w14:paraId="675EB135">
            <w:pPr>
              <w:rPr>
                <w:rFonts w:eastAsia="Calibri"/>
                <w:bCs/>
                <w:iCs/>
                <w:color w:val="000000"/>
                <w:sz w:val="22"/>
                <w:szCs w:val="22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Цвет средней стойки</w:t>
            </w:r>
          </w:p>
        </w:tc>
        <w:tc>
          <w:tcPr>
            <w:tcW w:w="7532" w:type="dxa"/>
            <w:noWrap w:val="0"/>
            <w:vAlign w:val="top"/>
          </w:tcPr>
          <w:p w14:paraId="5570C375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bCs/>
                <w:color w:val="222222"/>
                <w:sz w:val="22"/>
                <w:szCs w:val="22"/>
              </w:rPr>
              <w:t xml:space="preserve">RAL 9005 </w:t>
            </w:r>
            <w:r>
              <w:rPr>
                <w:bCs/>
                <w:sz w:val="22"/>
                <w:szCs w:val="22"/>
                <w:lang w:eastAsia="ru-RU"/>
              </w:rPr>
              <w:t>Jet black</w:t>
            </w:r>
          </w:p>
        </w:tc>
      </w:tr>
      <w:tr w14:paraId="7E4B7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383" w:type="dxa"/>
            <w:noWrap w:val="0"/>
            <w:vAlign w:val="top"/>
          </w:tcPr>
          <w:p w14:paraId="023B7870">
            <w:pPr>
              <w:rPr>
                <w:rFonts w:eastAsia="Calibri"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Цвет тента крыши</w:t>
            </w:r>
          </w:p>
        </w:tc>
        <w:tc>
          <w:tcPr>
            <w:tcW w:w="7532" w:type="dxa"/>
            <w:noWrap w:val="0"/>
            <w:vAlign w:val="top"/>
          </w:tcPr>
          <w:p w14:paraId="28AC9A49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bCs/>
                <w:sz w:val="22"/>
                <w:szCs w:val="22"/>
                <w:lang w:eastAsia="ru-RU"/>
              </w:rPr>
              <w:t>9010 Pure White</w:t>
            </w:r>
          </w:p>
        </w:tc>
      </w:tr>
      <w:tr w14:paraId="46B66C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383" w:type="dxa"/>
            <w:noWrap w:val="0"/>
            <w:vAlign w:val="top"/>
          </w:tcPr>
          <w:p w14:paraId="13951A10">
            <w:pPr>
              <w:rPr>
                <w:rFonts w:eastAsia="Calibri"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Плотность бокового тента</w:t>
            </w:r>
          </w:p>
        </w:tc>
        <w:tc>
          <w:tcPr>
            <w:tcW w:w="7532" w:type="dxa"/>
            <w:noWrap w:val="0"/>
            <w:vAlign w:val="top"/>
          </w:tcPr>
          <w:p w14:paraId="45B753E3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900 gr/m2</w:t>
            </w:r>
          </w:p>
        </w:tc>
      </w:tr>
      <w:tr w14:paraId="65DC1D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1" w:hRule="atLeast"/>
        </w:trPr>
        <w:tc>
          <w:tcPr>
            <w:tcW w:w="3383" w:type="dxa"/>
            <w:noWrap w:val="0"/>
            <w:vAlign w:val="top"/>
          </w:tcPr>
          <w:p w14:paraId="406110AD">
            <w:pPr>
              <w:rPr>
                <w:rFonts w:eastAsia="Calibri"/>
                <w:bCs/>
                <w:iCs/>
                <w:color w:val="000000"/>
                <w:sz w:val="22"/>
                <w:szCs w:val="22"/>
                <w:lang w:val="en-US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</w:rPr>
              <w:t>Плотность тента крыши</w:t>
            </w:r>
          </w:p>
        </w:tc>
        <w:tc>
          <w:tcPr>
            <w:tcW w:w="7532" w:type="dxa"/>
            <w:noWrap w:val="0"/>
            <w:vAlign w:val="top"/>
          </w:tcPr>
          <w:p w14:paraId="3CAD17E3">
            <w:pPr>
              <w:jc w:val="both"/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bCs/>
                <w:iCs/>
                <w:color w:val="000000"/>
                <w:sz w:val="22"/>
                <w:szCs w:val="22"/>
                <w:lang w:eastAsia="ru-RU"/>
              </w:rPr>
              <w:t>680 gr/m2</w:t>
            </w:r>
          </w:p>
        </w:tc>
      </w:tr>
    </w:tbl>
    <w:p w14:paraId="433D482D">
      <w:pPr>
        <w:widowControl/>
        <w:numPr>
          <w:ilvl w:val="1"/>
          <w:numId w:val="1"/>
        </w:numPr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jc w:val="center"/>
        <w:rPr>
          <w:rFonts w:eastAsia="Calibri"/>
          <w:bCs/>
          <w:color w:val="000000"/>
          <w:sz w:val="24"/>
          <w:szCs w:val="24"/>
        </w:rPr>
      </w:pPr>
    </w:p>
    <w:p w14:paraId="73E4CEEC">
      <w:pPr>
        <w:pStyle w:val="38"/>
        <w:jc w:val="both"/>
        <w:rPr>
          <w:rFonts w:eastAsia="Calibri"/>
        </w:rPr>
      </w:pPr>
    </w:p>
    <w:p w14:paraId="1FB53A6F">
      <w:pPr>
        <w:widowControl/>
        <w:tabs>
          <w:tab w:val="left" w:pos="406"/>
          <w:tab w:val="left" w:pos="688"/>
        </w:tabs>
        <w:suppressAutoHyphens w:val="0"/>
        <w:autoSpaceDE w:val="0"/>
        <w:snapToGrid w:val="0"/>
        <w:spacing w:after="120"/>
        <w:rPr>
          <w:rFonts w:eastAsia="Calibri"/>
          <w:b/>
          <w:bCs/>
          <w:color w:val="000000"/>
          <w:sz w:val="24"/>
          <w:szCs w:val="24"/>
          <w:u w:val="single"/>
        </w:rPr>
      </w:pPr>
    </w:p>
    <w:p w14:paraId="4D2B7407">
      <w:pPr>
        <w:spacing w:after="80" w:line="230" w:lineRule="auto"/>
        <w:ind w:left="-709" w:right="-15" w:firstLine="567"/>
        <w:jc w:val="both"/>
        <w:rPr>
          <w:rFonts w:ascii="Arial" w:hAnsi="Arial" w:cs="Arial"/>
          <w:b/>
          <w:sz w:val="20"/>
          <w:u w:val="single"/>
        </w:rPr>
      </w:pPr>
      <w:r>
        <w:rPr>
          <w:rFonts w:ascii="Arial" w:hAnsi="Arial" w:eastAsia="Arial" w:cs="Arial"/>
          <w:sz w:val="20"/>
        </w:rPr>
        <w:t xml:space="preserve">Шторно-бортовой полуприцеп </w:t>
      </w:r>
      <w:r>
        <w:rPr>
          <w:color w:val="000000"/>
          <w:sz w:val="24"/>
          <w:szCs w:val="24"/>
          <w:lang w:val="en-US" w:eastAsia="ru-RU"/>
        </w:rPr>
        <w:t>ISO</w:t>
      </w:r>
      <w:r>
        <w:rPr>
          <w:color w:val="000000"/>
          <w:sz w:val="24"/>
          <w:szCs w:val="24"/>
          <w:lang w:eastAsia="ru-RU"/>
        </w:rPr>
        <w:t xml:space="preserve"> </w:t>
      </w:r>
      <w:r>
        <w:rPr>
          <w:color w:val="000000"/>
          <w:sz w:val="24"/>
          <w:szCs w:val="24"/>
          <w:lang w:val="en-US" w:eastAsia="ru-RU"/>
        </w:rPr>
        <w:t>PAKCS</w:t>
      </w:r>
      <w:r>
        <w:rPr>
          <w:rFonts w:ascii="Arial" w:hAnsi="Arial" w:eastAsia="Arial" w:cs="Arial"/>
          <w:sz w:val="20"/>
        </w:rPr>
        <w:t xml:space="preserve"> спроектирован и разработан специально с учетом высоких технических требований. Идеальное решение для внутренних перевозок.</w:t>
      </w:r>
      <w:r>
        <w:rPr>
          <w:lang w:eastAsia="ru-RU"/>
        </w:rPr>
        <w:t xml:space="preserve"> </w:t>
      </w:r>
      <w:r>
        <w:rPr>
          <w:lang w:eastAsia="ru-RU"/>
        </w:rPr>
        <w:drawing>
          <wp:inline distT="0" distB="0" distL="0" distR="0">
            <wp:extent cx="5319395" cy="1307465"/>
            <wp:effectExtent l="152400" t="171450" r="319405" b="349885"/>
            <wp:docPr id="21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6"/>
                    <pic:cNvPicPr/>
                  </pic:nvPicPr>
                  <pic:blipFill>
                    <a:blip r:embed="rId11" cstate="print"/>
                    <a:srcRect l="21967" t="33365" r="23036" b="42680"/>
                    <a:stretch>
                      <a:fillRect/>
                    </a:stretch>
                  </pic:blipFill>
                  <pic:spPr>
                    <a:xfrm>
                      <a:off x="0" y="0"/>
                      <a:ext cx="5319752" cy="13079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0E77A1">
      <w:pPr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Цена</w:t>
      </w:r>
      <w:r>
        <w:rPr>
          <w:sz w:val="24"/>
          <w:szCs w:val="24"/>
          <w:lang w:eastAsia="ru-RU"/>
        </w:rPr>
        <w:t xml:space="preserve"> за 1 единицу изделия</w:t>
      </w:r>
      <w:r>
        <w:rPr>
          <w:rFonts w:hint="default"/>
          <w:sz w:val="24"/>
          <w:szCs w:val="24"/>
          <w:lang w:val="en-US" w:eastAsia="ru-RU"/>
        </w:rPr>
        <w:t xml:space="preserve"> </w:t>
      </w:r>
      <w:r>
        <w:rPr>
          <w:sz w:val="24"/>
          <w:szCs w:val="24"/>
          <w:lang w:eastAsia="ru-RU"/>
        </w:rPr>
        <w:t>самовывозом</w:t>
      </w:r>
      <w:r>
        <w:rPr>
          <w:rFonts w:hint="default"/>
          <w:sz w:val="24"/>
          <w:szCs w:val="24"/>
          <w:lang w:val="en-US" w:eastAsia="ru-RU"/>
        </w:rPr>
        <w:t xml:space="preserve"> </w:t>
      </w:r>
      <w:r>
        <w:rPr>
          <w:sz w:val="24"/>
          <w:szCs w:val="24"/>
          <w:lang w:eastAsia="ru-RU"/>
        </w:rPr>
        <w:t>из Ясногорска</w:t>
      </w:r>
      <w:r>
        <w:rPr>
          <w:rFonts w:hint="default"/>
          <w:sz w:val="24"/>
          <w:szCs w:val="24"/>
          <w:lang w:val="en-US" w:eastAsia="ru-RU"/>
        </w:rPr>
        <w:t xml:space="preserve"> </w:t>
      </w:r>
      <w:r>
        <w:rPr>
          <w:color w:val="000000"/>
          <w:spacing w:val="2"/>
          <w:sz w:val="24"/>
          <w:szCs w:val="24"/>
          <w:shd w:val="clear" w:color="auto" w:fill="FFFFFF"/>
          <w:lang w:eastAsia="ru-RU"/>
        </w:rPr>
        <w:t>Тульской области</w:t>
      </w:r>
      <w:r>
        <w:rPr>
          <w:rFonts w:hint="default"/>
          <w:color w:val="000000"/>
          <w:spacing w:val="2"/>
          <w:sz w:val="24"/>
          <w:szCs w:val="24"/>
          <w:shd w:val="clear" w:color="auto" w:fill="FFFFFF"/>
          <w:lang w:val="en-US" w:eastAsia="ru-RU"/>
        </w:rPr>
        <w:t xml:space="preserve"> </w:t>
      </w:r>
      <w:r>
        <w:rPr>
          <w:rFonts w:hint="default"/>
          <w:b/>
          <w:sz w:val="24"/>
          <w:szCs w:val="24"/>
          <w:lang w:val="en-US" w:eastAsia="ru-RU"/>
        </w:rPr>
        <w:t>55 600 евро по курсу ЦБ РФ</w:t>
      </w:r>
      <w:r>
        <w:rPr>
          <w:b/>
          <w:sz w:val="24"/>
          <w:szCs w:val="24"/>
          <w:lang w:eastAsia="ru-RU"/>
        </w:rPr>
        <w:t>, в т.ч. НДС 20%.</w:t>
      </w:r>
    </w:p>
    <w:p w14:paraId="45E0A31E">
      <w:pPr>
        <w:widowControl/>
        <w:suppressAutoHyphens w:val="0"/>
        <w:adjustRightInd w:val="0"/>
        <w:rPr>
          <w:sz w:val="24"/>
          <w:szCs w:val="24"/>
          <w:lang w:eastAsia="ru-RU"/>
        </w:rPr>
      </w:pPr>
    </w:p>
    <w:p w14:paraId="1ED79405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Количество:</w:t>
      </w:r>
      <w:r>
        <w:rPr>
          <w:color w:val="000000"/>
          <w:sz w:val="24"/>
          <w:szCs w:val="24"/>
          <w:lang w:eastAsia="ru-RU"/>
        </w:rPr>
        <w:t xml:space="preserve"> 1 шт. в наличии.</w:t>
      </w:r>
    </w:p>
    <w:p w14:paraId="05357FBF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</w:p>
    <w:p w14:paraId="4A3E37D0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b/>
          <w:color w:val="000000"/>
          <w:sz w:val="24"/>
          <w:szCs w:val="24"/>
          <w:lang w:eastAsia="ru-RU"/>
        </w:rPr>
        <w:t>Условия оплаты</w:t>
      </w:r>
      <w:r>
        <w:rPr>
          <w:color w:val="000000"/>
          <w:sz w:val="24"/>
          <w:szCs w:val="24"/>
          <w:lang w:eastAsia="ru-RU"/>
        </w:rPr>
        <w:t xml:space="preserve">: </w:t>
      </w:r>
    </w:p>
    <w:p w14:paraId="663F75CB">
      <w:pPr>
        <w:widowControl/>
        <w:suppressAutoHyphens w:val="0"/>
        <w:adjustRightInd w:val="0"/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eastAsia="ru-RU"/>
        </w:rPr>
        <w:t xml:space="preserve">100%- предоплата после подписания договора; </w:t>
      </w:r>
    </w:p>
    <w:p w14:paraId="74C1BB9D">
      <w:pPr>
        <w:pStyle w:val="11"/>
        <w:spacing w:line="360" w:lineRule="auto"/>
        <w:jc w:val="both"/>
        <w:rPr>
          <w:b w:val="0"/>
          <w:bCs/>
          <w:sz w:val="22"/>
          <w:szCs w:val="22"/>
          <w:lang w:val="ru-RU"/>
        </w:rPr>
      </w:pPr>
      <w:r>
        <w:rPr>
          <w:b w:val="0"/>
          <w:bCs/>
          <w:sz w:val="22"/>
          <w:szCs w:val="22"/>
        </w:rPr>
        <w:t>Срок действия коммерческого предложения до</w:t>
      </w:r>
      <w:r>
        <w:rPr>
          <w:rFonts w:hint="default"/>
          <w:b w:val="0"/>
          <w:bCs/>
          <w:sz w:val="22"/>
          <w:szCs w:val="22"/>
          <w:lang w:val="ru-RU"/>
        </w:rPr>
        <w:t xml:space="preserve"> 31</w:t>
      </w:r>
      <w:r>
        <w:rPr>
          <w:b w:val="0"/>
          <w:bCs/>
          <w:sz w:val="22"/>
          <w:szCs w:val="22"/>
          <w:lang w:val="ru-RU"/>
        </w:rPr>
        <w:t>.0</w:t>
      </w:r>
      <w:r>
        <w:rPr>
          <w:rFonts w:hint="default"/>
          <w:b w:val="0"/>
          <w:bCs/>
          <w:sz w:val="22"/>
          <w:szCs w:val="22"/>
          <w:lang w:val="ru-RU"/>
        </w:rPr>
        <w:t>8.</w:t>
      </w:r>
      <w:r>
        <w:rPr>
          <w:b w:val="0"/>
          <w:bCs/>
          <w:sz w:val="22"/>
          <w:szCs w:val="22"/>
          <w:lang w:val="ru-RU"/>
        </w:rPr>
        <w:t>202</w:t>
      </w:r>
      <w:r>
        <w:rPr>
          <w:rFonts w:hint="default"/>
          <w:b w:val="0"/>
          <w:bCs/>
          <w:sz w:val="22"/>
          <w:szCs w:val="22"/>
          <w:lang w:val="ru-RU"/>
        </w:rPr>
        <w:t>5</w:t>
      </w:r>
      <w:r>
        <w:rPr>
          <w:b w:val="0"/>
          <w:bCs/>
          <w:sz w:val="22"/>
          <w:szCs w:val="22"/>
          <w:lang w:val="ru-RU"/>
        </w:rPr>
        <w:t xml:space="preserve"> г.</w:t>
      </w:r>
    </w:p>
    <w:p w14:paraId="5B9F25C6">
      <w:pPr>
        <w:rPr>
          <w:color w:val="000000"/>
        </w:rPr>
      </w:pPr>
      <w:bookmarkStart w:id="0" w:name="_GoBack"/>
      <w:bookmarkEnd w:id="0"/>
    </w:p>
    <w:p w14:paraId="5422221A">
      <w:pPr>
        <w:tabs>
          <w:tab w:val="left" w:pos="6444"/>
        </w:tabs>
        <w:rPr>
          <w:color w:val="000000"/>
          <w:sz w:val="24"/>
          <w:szCs w:val="24"/>
          <w:lang w:val="pl-PL" w:eastAsia="ru-RU"/>
        </w:rPr>
      </w:pPr>
      <w:r>
        <w:rPr>
          <w:color w:val="000000"/>
          <w:sz w:val="24"/>
          <w:szCs w:val="24"/>
        </w:rPr>
        <w:t xml:space="preserve">С </w:t>
      </w:r>
      <w:r>
        <w:rPr>
          <w:color w:val="000000"/>
          <w:sz w:val="24"/>
          <w:szCs w:val="24"/>
          <w:lang w:val="pl-PL"/>
        </w:rPr>
        <w:t>уважением, Карнаков Вячеслав Владимирович</w:t>
      </w:r>
      <w:r>
        <w:rPr>
          <w:color w:val="000000"/>
          <w:sz w:val="24"/>
          <w:szCs w:val="24"/>
          <w:lang w:val="pl-PL"/>
        </w:rPr>
        <w:tab/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директор ООО "МаксКар"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 (383) 233-32-53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>8-913-752-39-76</w:t>
      </w:r>
    </w:p>
    <w:p w14:paraId="17EA4379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  <w:lang w:val="pl-PL"/>
        </w:rPr>
        <w:t>8-913-477-09-39 (служебный)</w:t>
      </w:r>
      <w:r>
        <w:rPr>
          <w:color w:val="000000"/>
          <w:sz w:val="24"/>
          <w:szCs w:val="24"/>
          <w:lang w:val="pl-PL"/>
        </w:rPr>
        <w:br w:type="textWrapping"/>
      </w:r>
      <w:r>
        <w:rPr>
          <w:color w:val="000000"/>
          <w:sz w:val="24"/>
          <w:szCs w:val="24"/>
          <w:lang w:val="pl-PL"/>
        </w:rPr>
        <w:t xml:space="preserve">стоянка – </w:t>
      </w:r>
      <w:r>
        <w:rPr>
          <w:color w:val="000000"/>
          <w:sz w:val="24"/>
          <w:szCs w:val="24"/>
        </w:rPr>
        <w:t xml:space="preserve">Федеральная трасса Р-254, </w:t>
      </w:r>
    </w:p>
    <w:p w14:paraId="69F3A172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  <w:lang w:val="pl-PL"/>
        </w:rPr>
        <w:t xml:space="preserve">северный </w:t>
      </w:r>
      <w:r>
        <w:rPr>
          <w:color w:val="000000"/>
          <w:sz w:val="24"/>
          <w:szCs w:val="24"/>
        </w:rPr>
        <w:t>обход Новосибирска</w:t>
      </w:r>
      <w:r>
        <w:rPr>
          <w:color w:val="000000"/>
          <w:sz w:val="24"/>
          <w:szCs w:val="24"/>
          <w:lang w:val="pl-PL"/>
        </w:rPr>
        <w:t xml:space="preserve">, </w:t>
      </w:r>
    </w:p>
    <w:p w14:paraId="5E15E7EE">
      <w:pPr>
        <w:rPr>
          <w:rFonts w:ascii="Calibri" w:hAnsi="Calibri" w:cs="Calibri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п. Садовый, ул. Пасечная, 10, </w:t>
      </w:r>
    </w:p>
    <w:p w14:paraId="6B223DBA">
      <w:pPr>
        <w:rPr>
          <w:color w:val="000000"/>
          <w:sz w:val="24"/>
          <w:szCs w:val="24"/>
          <w:lang w:eastAsia="ru-RU"/>
        </w:rPr>
      </w:pPr>
      <w:r>
        <w:rPr>
          <w:color w:val="000000"/>
          <w:sz w:val="24"/>
          <w:szCs w:val="24"/>
        </w:rPr>
        <w:t>(пост ГИБДД, гостиница «У самовара»)</w:t>
      </w:r>
      <w:r>
        <w:rPr>
          <w:color w:val="000000"/>
          <w:sz w:val="24"/>
          <w:szCs w:val="24"/>
          <w:lang w:val="pl-PL"/>
        </w:rPr>
        <w:br w:type="textWrapping"/>
      </w:r>
      <w:r>
        <w:fldChar w:fldCharType="begin"/>
      </w:r>
      <w:r>
        <w:instrText xml:space="preserve"> HYPERLINK "mailto:maxcar54@mail.ru" </w:instrText>
      </w:r>
      <w:r>
        <w:fldChar w:fldCharType="separate"/>
      </w:r>
      <w:r>
        <w:rPr>
          <w:rStyle w:val="6"/>
          <w:sz w:val="24"/>
          <w:lang w:val="pl-PL"/>
        </w:rPr>
        <w:t>maxcar54@mail.r</w:t>
      </w:r>
      <w:r>
        <w:rPr>
          <w:rStyle w:val="6"/>
          <w:sz w:val="24"/>
          <w:lang w:val="en-US"/>
        </w:rPr>
        <w:t>u</w:t>
      </w:r>
      <w:r>
        <w:rPr>
          <w:rStyle w:val="6"/>
          <w:sz w:val="24"/>
          <w:lang w:val="en-US"/>
        </w:rPr>
        <w:fldChar w:fldCharType="end"/>
      </w:r>
    </w:p>
    <w:p w14:paraId="1A0ABD3D">
      <w:pPr>
        <w:rPr>
          <w:color w:val="000000"/>
          <w:sz w:val="24"/>
          <w:szCs w:val="24"/>
          <w:lang w:eastAsia="en-US"/>
        </w:rPr>
      </w:pPr>
      <w:r>
        <w:fldChar w:fldCharType="begin"/>
      </w:r>
      <w:r>
        <w:instrText xml:space="preserve"> HYPERLINK "http://www.maxcar54.ru" \t "_blank" </w:instrText>
      </w:r>
      <w:r>
        <w:fldChar w:fldCharType="separate"/>
      </w:r>
      <w:r>
        <w:rPr>
          <w:rStyle w:val="6"/>
          <w:sz w:val="24"/>
          <w:lang w:val="pl-PL"/>
        </w:rPr>
        <w:t>www.maxcar54.ru</w:t>
      </w:r>
      <w:r>
        <w:rPr>
          <w:rStyle w:val="6"/>
          <w:sz w:val="24"/>
          <w:lang w:val="pl-PL"/>
        </w:rPr>
        <w:fldChar w:fldCharType="end"/>
      </w:r>
    </w:p>
    <w:p w14:paraId="1B355A23">
      <w:pPr>
        <w:autoSpaceDE w:val="0"/>
        <w:autoSpaceDN w:val="0"/>
        <w:rPr>
          <w:sz w:val="24"/>
          <w:szCs w:val="24"/>
        </w:rPr>
      </w:pPr>
      <w:r>
        <w:fldChar w:fldCharType="begin"/>
      </w:r>
      <w:r>
        <w:instrText xml:space="preserve"> HYPERLINK "https://www.youtube.com/channel/UCIiFI5uro5xB8fkw0N0pyRg/videos" </w:instrText>
      </w:r>
      <w:r>
        <w:fldChar w:fldCharType="separate"/>
      </w:r>
      <w:r>
        <w:rPr>
          <w:rStyle w:val="6"/>
          <w:sz w:val="24"/>
        </w:rPr>
        <w:t>https://www.youtube.com/channel/UCIiFI5uro5xB8fkw0N0pyRg/videos</w:t>
      </w:r>
      <w:r>
        <w:rPr>
          <w:rStyle w:val="6"/>
          <w:sz w:val="24"/>
        </w:rPr>
        <w:fldChar w:fldCharType="end"/>
      </w:r>
    </w:p>
    <w:p w14:paraId="25D63632">
      <w:pPr>
        <w:rPr>
          <w:sz w:val="24"/>
          <w:szCs w:val="24"/>
        </w:rPr>
      </w:pPr>
      <w:r>
        <w:fldChar w:fldCharType="begin"/>
      </w:r>
      <w:r>
        <w:instrText xml:space="preserve"> HYPERLINK "https://www.instagram.com/maxcar54ru/" </w:instrText>
      </w:r>
      <w:r>
        <w:fldChar w:fldCharType="separate"/>
      </w:r>
      <w:r>
        <w:rPr>
          <w:rStyle w:val="6"/>
          <w:sz w:val="24"/>
        </w:rPr>
        <w:t>https://www.instagram.com/maxcar54ru/</w:t>
      </w:r>
      <w:r>
        <w:rPr>
          <w:rStyle w:val="6"/>
          <w:sz w:val="24"/>
        </w:rPr>
        <w:fldChar w:fldCharType="end"/>
      </w:r>
    </w:p>
    <w:p w14:paraId="7F05D3C6"/>
    <w:sectPr>
      <w:headerReference r:id="rId3" w:type="default"/>
      <w:footerReference r:id="rId4" w:type="default"/>
      <w:footerReference r:id="rId5" w:type="even"/>
      <w:pgSz w:w="11906" w:h="16838"/>
      <w:pgMar w:top="1440" w:right="1080" w:bottom="1440" w:left="1080" w:header="164" w:footer="709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PMingLiU">
    <w:altName w:val="Microsoft JhengHei UI"/>
    <w:panose1 w:val="02010601000101010101"/>
    <w:charset w:val="88"/>
    <w:family w:val="auto"/>
    <w:pitch w:val="default"/>
    <w:sig w:usb0="00000000" w:usb1="00000000" w:usb2="00000010" w:usb3="00000000" w:csb0="00100000" w:csb1="00000000"/>
  </w:font>
  <w:font w:name="TimesET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imes">
    <w:altName w:val="Times New Roman"/>
    <w:panose1 w:val="02020603050405020304"/>
    <w:charset w:val="CC"/>
    <w:family w:val="roman"/>
    <w:pitch w:val="default"/>
    <w:sig w:usb0="00000000" w:usb1="00000000" w:usb2="00000009" w:usb3="00000000" w:csb0="000001FF" w:csb1="00000000"/>
  </w:font>
  <w:font w:name="TimesNewRomanPS-BoldMT">
    <w:altName w:val="Yu Gothic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9557B9">
    <w:pPr>
      <w:jc w:val="both"/>
      <w:rPr>
        <w:sz w:val="20"/>
      </w:rPr>
    </w:pPr>
    <w:r>
      <w:rPr>
        <w:sz w:val="20"/>
        <w:lang w:eastAsia="ru-RU"/>
      </w:rPr>
      <w:t xml:space="preserve">Юридический адрес: </w:t>
    </w:r>
    <w:r>
      <w:rPr>
        <w:sz w:val="20"/>
      </w:rPr>
      <w:t>630040, Новосибирская область, Новосибирский район, Мочищенский сельсовет, п. Озерный, ул. Промышленная, дом № 6, корпус 1, этаж 2</w:t>
    </w:r>
    <w:r>
      <w:rPr>
        <w:sz w:val="20"/>
        <w:lang w:eastAsia="ru-RU"/>
      </w:rPr>
      <w:t xml:space="preserve">, тел. (383) 233-32-53, </w:t>
    </w:r>
    <w:r>
      <w:fldChar w:fldCharType="begin"/>
    </w:r>
    <w:r>
      <w:instrText xml:space="preserve"> HYPERLINK "mailto:maxcar54@mail.ru" </w:instrText>
    </w:r>
    <w:r>
      <w:fldChar w:fldCharType="separate"/>
    </w:r>
    <w:r>
      <w:rPr>
        <w:rStyle w:val="6"/>
        <w:color w:val="auto"/>
        <w:sz w:val="20"/>
        <w:lang w:val="en-US" w:eastAsia="ru-RU"/>
      </w:rPr>
      <w:t>maxcar</w:t>
    </w:r>
    <w:r>
      <w:rPr>
        <w:rStyle w:val="6"/>
        <w:color w:val="auto"/>
        <w:sz w:val="20"/>
        <w:lang w:eastAsia="ru-RU"/>
      </w:rPr>
      <w:t>54@</w:t>
    </w:r>
    <w:r>
      <w:rPr>
        <w:rStyle w:val="6"/>
        <w:color w:val="auto"/>
        <w:sz w:val="20"/>
        <w:lang w:val="en-US" w:eastAsia="ru-RU"/>
      </w:rPr>
      <w:t>mail</w:t>
    </w:r>
    <w:r>
      <w:rPr>
        <w:rStyle w:val="6"/>
        <w:color w:val="auto"/>
        <w:sz w:val="20"/>
        <w:lang w:eastAsia="ru-RU"/>
      </w:rPr>
      <w:t>.</w:t>
    </w:r>
    <w:r>
      <w:rPr>
        <w:rStyle w:val="6"/>
        <w:color w:val="auto"/>
        <w:sz w:val="20"/>
        <w:lang w:val="en-US" w:eastAsia="ru-RU"/>
      </w:rPr>
      <w:t>ru</w:t>
    </w:r>
    <w:r>
      <w:rPr>
        <w:rStyle w:val="6"/>
        <w:color w:val="auto"/>
        <w:sz w:val="20"/>
        <w:lang w:val="en-US" w:eastAsia="ru-RU"/>
      </w:rPr>
      <w:fldChar w:fldCharType="end"/>
    </w:r>
    <w:r>
      <w:rPr>
        <w:sz w:val="20"/>
        <w:lang w:eastAsia="ru-RU"/>
      </w:rPr>
      <w:t xml:space="preserve">, </w:t>
    </w:r>
    <w:r>
      <w:fldChar w:fldCharType="begin"/>
    </w:r>
    <w:r>
      <w:instrText xml:space="preserve"> HYPERLINK "http://www.maxcar54.ru" </w:instrText>
    </w:r>
    <w:r>
      <w:fldChar w:fldCharType="separate"/>
    </w:r>
    <w:r>
      <w:rPr>
        <w:rStyle w:val="6"/>
        <w:color w:val="auto"/>
        <w:sz w:val="20"/>
        <w:lang w:val="en-US" w:eastAsia="ru-RU"/>
      </w:rPr>
      <w:t>www</w:t>
    </w:r>
    <w:r>
      <w:rPr>
        <w:rStyle w:val="6"/>
        <w:color w:val="auto"/>
        <w:sz w:val="20"/>
        <w:lang w:eastAsia="ru-RU"/>
      </w:rPr>
      <w:t>.</w:t>
    </w:r>
    <w:r>
      <w:rPr>
        <w:rStyle w:val="6"/>
        <w:color w:val="auto"/>
        <w:sz w:val="20"/>
        <w:lang w:val="en-US" w:eastAsia="ru-RU"/>
      </w:rPr>
      <w:t>maxcar</w:t>
    </w:r>
    <w:r>
      <w:rPr>
        <w:rStyle w:val="6"/>
        <w:color w:val="auto"/>
        <w:sz w:val="20"/>
        <w:lang w:eastAsia="ru-RU"/>
      </w:rPr>
      <w:t>54.</w:t>
    </w:r>
    <w:r>
      <w:rPr>
        <w:rStyle w:val="6"/>
        <w:color w:val="auto"/>
        <w:sz w:val="20"/>
        <w:lang w:val="en-US" w:eastAsia="ru-RU"/>
      </w:rPr>
      <w:t>ru</w:t>
    </w:r>
    <w:r>
      <w:rPr>
        <w:rStyle w:val="6"/>
        <w:color w:val="auto"/>
        <w:sz w:val="20"/>
        <w:lang w:val="en-US" w:eastAsia="ru-RU"/>
      </w:rPr>
      <w:fldChar w:fldCharType="end"/>
    </w:r>
    <w:r>
      <w:rPr>
        <w:sz w:val="20"/>
      </w:rPr>
      <w:t xml:space="preserve">   </w:t>
    </w:r>
  </w:p>
  <w:p w14:paraId="5662BCA3">
    <w:pPr>
      <w:jc w:val="both"/>
      <w:rPr>
        <w:sz w:val="20"/>
      </w:rPr>
    </w:pPr>
    <w:r>
      <w:rPr>
        <w:sz w:val="20"/>
        <w:lang w:eastAsia="ru-RU"/>
      </w:rPr>
      <w:t xml:space="preserve"> ИНН 5406440450/КПП 543301001, р/с </w:t>
    </w:r>
    <w:r>
      <w:rPr>
        <w:sz w:val="20"/>
      </w:rPr>
      <w:t>40702810007000013734</w:t>
    </w:r>
    <w:r>
      <w:rPr>
        <w:sz w:val="20"/>
        <w:lang w:eastAsia="ru-RU"/>
      </w:rPr>
      <w:t xml:space="preserve"> </w:t>
    </w:r>
    <w:r>
      <w:rPr>
        <w:rStyle w:val="34"/>
        <w:sz w:val="20"/>
      </w:rPr>
      <w:t xml:space="preserve">в </w:t>
    </w:r>
    <w:r>
      <w:rPr>
        <w:sz w:val="20"/>
      </w:rPr>
      <w:t xml:space="preserve">Сибирский филиал АО "Райффайзенбанк", </w:t>
    </w:r>
  </w:p>
  <w:p w14:paraId="04E2FC11">
    <w:pPr>
      <w:jc w:val="both"/>
      <w:rPr>
        <w:sz w:val="20"/>
      </w:rPr>
    </w:pPr>
    <w:r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45.10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1DE20BF">
    <w:pPr>
      <w:pStyle w:val="13"/>
      <w:framePr w:wrap="around" w:vAnchor="text" w:hAnchor="margin" w:xAlign="right" w:y="1"/>
      <w:rPr>
        <w:rStyle w:val="7"/>
      </w:rPr>
    </w:pPr>
    <w:r>
      <w:rPr>
        <w:rStyle w:val="7"/>
      </w:rPr>
      <w:fldChar w:fldCharType="begin"/>
    </w:r>
    <w:r>
      <w:rPr>
        <w:rStyle w:val="7"/>
      </w:rPr>
      <w:instrText xml:space="preserve">PAGE  </w:instrText>
    </w:r>
    <w:r>
      <w:rPr>
        <w:rStyle w:val="7"/>
      </w:rPr>
      <w:fldChar w:fldCharType="end"/>
    </w:r>
  </w:p>
  <w:p w14:paraId="3CEA1B2C">
    <w:pPr>
      <w:pStyle w:val="13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86544C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sz w:val="20"/>
        <w:lang w:eastAsia="ru-RU"/>
      </w:rPr>
      <w:t xml:space="preserve">                                      </w:t>
    </w:r>
    <w:r>
      <w:rPr>
        <w:sz w:val="20"/>
        <w:lang w:eastAsia="ru-RU"/>
      </w:rPr>
      <w:drawing>
        <wp:inline distT="0" distB="0" distL="0" distR="0">
          <wp:extent cx="2316480" cy="796925"/>
          <wp:effectExtent l="0" t="0" r="7620" b="3175"/>
          <wp:docPr id="22" name="Рисунок 22" descr="C:\Users\С ноута\d (acer travelMate 6292)\мои документы\Полуприцепы производители-поставщики\kassbohrer\логотип изопак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22" descr="C:\Users\С ноута\d (acer travelMate 6292)\мои документы\Полуприцепы производители-поставщики\kassbohrer\логотип изопакс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29199" cy="8362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lang w:eastAsia="ru-RU"/>
      </w:rPr>
      <w:drawing>
        <wp:inline distT="0" distB="0" distL="0" distR="0">
          <wp:extent cx="1249680" cy="975360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9680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lang w:eastAsia="ru-RU"/>
      </w:rPr>
      <w:t xml:space="preserve">                                                                                                             </w:t>
    </w:r>
  </w:p>
  <w:p w14:paraId="7C643752">
    <w:pPr>
      <w:tabs>
        <w:tab w:val="left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2"/>
    <w:multiLevelType w:val="multilevel"/>
    <w:tmpl w:val="00000002"/>
    <w:lvl w:ilvl="0" w:tentative="0">
      <w:start w:val="1"/>
      <w:numFmt w:val="none"/>
      <w:pStyle w:val="38"/>
      <w:suff w:val="nothing"/>
      <w:lvlText w:val=""/>
      <w:lvlJc w:val="left"/>
      <w:pPr>
        <w:tabs>
          <w:tab w:val="left" w:pos="0"/>
        </w:tabs>
        <w:ind w:left="432" w:hanging="432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576" w:hanging="576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720" w:hanging="72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864" w:hanging="864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008" w:hanging="1008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152" w:hanging="1152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296" w:hanging="1296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440" w:hanging="144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6C3C"/>
    <w:rsid w:val="00016E12"/>
    <w:rsid w:val="00020860"/>
    <w:rsid w:val="00020CB5"/>
    <w:rsid w:val="00020CFE"/>
    <w:rsid w:val="000224B5"/>
    <w:rsid w:val="00023B28"/>
    <w:rsid w:val="00024348"/>
    <w:rsid w:val="00024F86"/>
    <w:rsid w:val="00032393"/>
    <w:rsid w:val="0004132B"/>
    <w:rsid w:val="00041BE3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3C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F98"/>
    <w:rsid w:val="00082229"/>
    <w:rsid w:val="00084ECD"/>
    <w:rsid w:val="000853D8"/>
    <w:rsid w:val="00087975"/>
    <w:rsid w:val="00093471"/>
    <w:rsid w:val="00094C9C"/>
    <w:rsid w:val="0009647B"/>
    <w:rsid w:val="000A6864"/>
    <w:rsid w:val="000A6BC0"/>
    <w:rsid w:val="000A7D67"/>
    <w:rsid w:val="000B0567"/>
    <w:rsid w:val="000B113B"/>
    <w:rsid w:val="000B4A66"/>
    <w:rsid w:val="000B62A5"/>
    <w:rsid w:val="000B64F8"/>
    <w:rsid w:val="000B7D8F"/>
    <w:rsid w:val="000C01C8"/>
    <w:rsid w:val="000C1EF1"/>
    <w:rsid w:val="000C2CF8"/>
    <w:rsid w:val="000C34FB"/>
    <w:rsid w:val="000C4013"/>
    <w:rsid w:val="000C427F"/>
    <w:rsid w:val="000C4491"/>
    <w:rsid w:val="000C47F2"/>
    <w:rsid w:val="000D00B7"/>
    <w:rsid w:val="000D0D39"/>
    <w:rsid w:val="000D17A9"/>
    <w:rsid w:val="000D19C9"/>
    <w:rsid w:val="000D1CE7"/>
    <w:rsid w:val="000D2983"/>
    <w:rsid w:val="000D2FB4"/>
    <w:rsid w:val="000D3451"/>
    <w:rsid w:val="000D36FD"/>
    <w:rsid w:val="000D4C0C"/>
    <w:rsid w:val="000D6965"/>
    <w:rsid w:val="000D7DBA"/>
    <w:rsid w:val="000D7F14"/>
    <w:rsid w:val="000E0B64"/>
    <w:rsid w:val="000E2AFF"/>
    <w:rsid w:val="000E611F"/>
    <w:rsid w:val="000E7586"/>
    <w:rsid w:val="000F1ED1"/>
    <w:rsid w:val="000F2C5F"/>
    <w:rsid w:val="000F5450"/>
    <w:rsid w:val="000F7199"/>
    <w:rsid w:val="00105EB8"/>
    <w:rsid w:val="001071BB"/>
    <w:rsid w:val="0010783B"/>
    <w:rsid w:val="001105E8"/>
    <w:rsid w:val="00114C67"/>
    <w:rsid w:val="00116860"/>
    <w:rsid w:val="00120656"/>
    <w:rsid w:val="00120A10"/>
    <w:rsid w:val="0012144B"/>
    <w:rsid w:val="00121FE6"/>
    <w:rsid w:val="00123CC3"/>
    <w:rsid w:val="001258DB"/>
    <w:rsid w:val="00136E12"/>
    <w:rsid w:val="0014052A"/>
    <w:rsid w:val="00140D09"/>
    <w:rsid w:val="00144583"/>
    <w:rsid w:val="00150189"/>
    <w:rsid w:val="00151C1C"/>
    <w:rsid w:val="00155E0C"/>
    <w:rsid w:val="001563E7"/>
    <w:rsid w:val="00157CDC"/>
    <w:rsid w:val="0016191D"/>
    <w:rsid w:val="00162F75"/>
    <w:rsid w:val="00163105"/>
    <w:rsid w:val="00164706"/>
    <w:rsid w:val="001650C8"/>
    <w:rsid w:val="00165386"/>
    <w:rsid w:val="001665D0"/>
    <w:rsid w:val="00167BB0"/>
    <w:rsid w:val="00171715"/>
    <w:rsid w:val="00173472"/>
    <w:rsid w:val="0017392E"/>
    <w:rsid w:val="00173C3B"/>
    <w:rsid w:val="0018244C"/>
    <w:rsid w:val="00183BF0"/>
    <w:rsid w:val="00185A21"/>
    <w:rsid w:val="00185EFA"/>
    <w:rsid w:val="001870E7"/>
    <w:rsid w:val="00187311"/>
    <w:rsid w:val="001876E0"/>
    <w:rsid w:val="00191EDB"/>
    <w:rsid w:val="00192031"/>
    <w:rsid w:val="001931A6"/>
    <w:rsid w:val="00194181"/>
    <w:rsid w:val="001960A5"/>
    <w:rsid w:val="001A0B13"/>
    <w:rsid w:val="001A15D8"/>
    <w:rsid w:val="001A18CF"/>
    <w:rsid w:val="001A5C65"/>
    <w:rsid w:val="001B0395"/>
    <w:rsid w:val="001B0B5D"/>
    <w:rsid w:val="001B22A1"/>
    <w:rsid w:val="001B2FC9"/>
    <w:rsid w:val="001B6E6C"/>
    <w:rsid w:val="001B7323"/>
    <w:rsid w:val="001C23A7"/>
    <w:rsid w:val="001C36C6"/>
    <w:rsid w:val="001C380E"/>
    <w:rsid w:val="001C562B"/>
    <w:rsid w:val="001D0894"/>
    <w:rsid w:val="001D2708"/>
    <w:rsid w:val="001D3679"/>
    <w:rsid w:val="001D51A2"/>
    <w:rsid w:val="001D794F"/>
    <w:rsid w:val="001E1110"/>
    <w:rsid w:val="001E1AD3"/>
    <w:rsid w:val="001E362B"/>
    <w:rsid w:val="001E700B"/>
    <w:rsid w:val="001F1115"/>
    <w:rsid w:val="001F1235"/>
    <w:rsid w:val="001F241C"/>
    <w:rsid w:val="001F2DF4"/>
    <w:rsid w:val="001F61F2"/>
    <w:rsid w:val="001F73B9"/>
    <w:rsid w:val="001F7756"/>
    <w:rsid w:val="00200FEA"/>
    <w:rsid w:val="00202279"/>
    <w:rsid w:val="002027EF"/>
    <w:rsid w:val="00204814"/>
    <w:rsid w:val="00212E80"/>
    <w:rsid w:val="00214427"/>
    <w:rsid w:val="002147C5"/>
    <w:rsid w:val="002205CA"/>
    <w:rsid w:val="00220B5D"/>
    <w:rsid w:val="002232D1"/>
    <w:rsid w:val="00223ABC"/>
    <w:rsid w:val="00223C10"/>
    <w:rsid w:val="0022450B"/>
    <w:rsid w:val="00225978"/>
    <w:rsid w:val="00227E10"/>
    <w:rsid w:val="00232872"/>
    <w:rsid w:val="002331F3"/>
    <w:rsid w:val="00234743"/>
    <w:rsid w:val="002356E6"/>
    <w:rsid w:val="00240ABA"/>
    <w:rsid w:val="00242AC7"/>
    <w:rsid w:val="002438F6"/>
    <w:rsid w:val="002440F3"/>
    <w:rsid w:val="002453BE"/>
    <w:rsid w:val="00247435"/>
    <w:rsid w:val="00250191"/>
    <w:rsid w:val="00251BC9"/>
    <w:rsid w:val="00251F0F"/>
    <w:rsid w:val="002568AB"/>
    <w:rsid w:val="00260BFA"/>
    <w:rsid w:val="002617BD"/>
    <w:rsid w:val="00264F95"/>
    <w:rsid w:val="00265B3C"/>
    <w:rsid w:val="00266F69"/>
    <w:rsid w:val="0026797D"/>
    <w:rsid w:val="00272C93"/>
    <w:rsid w:val="0027415C"/>
    <w:rsid w:val="002756A9"/>
    <w:rsid w:val="00276D46"/>
    <w:rsid w:val="00277B7E"/>
    <w:rsid w:val="00282576"/>
    <w:rsid w:val="0028331E"/>
    <w:rsid w:val="00283BA8"/>
    <w:rsid w:val="002849BD"/>
    <w:rsid w:val="00285EB9"/>
    <w:rsid w:val="00295E69"/>
    <w:rsid w:val="0029708E"/>
    <w:rsid w:val="002A1A60"/>
    <w:rsid w:val="002A207A"/>
    <w:rsid w:val="002A5F92"/>
    <w:rsid w:val="002A731C"/>
    <w:rsid w:val="002B4709"/>
    <w:rsid w:val="002B4F91"/>
    <w:rsid w:val="002B5559"/>
    <w:rsid w:val="002B6159"/>
    <w:rsid w:val="002B6160"/>
    <w:rsid w:val="002B669C"/>
    <w:rsid w:val="002D301C"/>
    <w:rsid w:val="002D6A2F"/>
    <w:rsid w:val="002D6D21"/>
    <w:rsid w:val="002D6FA5"/>
    <w:rsid w:val="002D7460"/>
    <w:rsid w:val="002D7EB1"/>
    <w:rsid w:val="002E2602"/>
    <w:rsid w:val="002E4277"/>
    <w:rsid w:val="002E50ED"/>
    <w:rsid w:val="002E65A5"/>
    <w:rsid w:val="002E7C8A"/>
    <w:rsid w:val="002E7E32"/>
    <w:rsid w:val="002F0E6B"/>
    <w:rsid w:val="002F1430"/>
    <w:rsid w:val="002F148F"/>
    <w:rsid w:val="002F2FDD"/>
    <w:rsid w:val="003018B5"/>
    <w:rsid w:val="00303BD3"/>
    <w:rsid w:val="00303DCF"/>
    <w:rsid w:val="00305AB2"/>
    <w:rsid w:val="00306B7B"/>
    <w:rsid w:val="0031181F"/>
    <w:rsid w:val="00312AFD"/>
    <w:rsid w:val="00316BDE"/>
    <w:rsid w:val="003227AE"/>
    <w:rsid w:val="00322E20"/>
    <w:rsid w:val="00326063"/>
    <w:rsid w:val="00326067"/>
    <w:rsid w:val="003266F3"/>
    <w:rsid w:val="0032678E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6E08"/>
    <w:rsid w:val="00346E24"/>
    <w:rsid w:val="00347ADB"/>
    <w:rsid w:val="00352761"/>
    <w:rsid w:val="0035473E"/>
    <w:rsid w:val="00355CFD"/>
    <w:rsid w:val="00364180"/>
    <w:rsid w:val="0036504D"/>
    <w:rsid w:val="00366DFD"/>
    <w:rsid w:val="00367C80"/>
    <w:rsid w:val="00371C0C"/>
    <w:rsid w:val="00371F5E"/>
    <w:rsid w:val="00372270"/>
    <w:rsid w:val="0038079E"/>
    <w:rsid w:val="00382B57"/>
    <w:rsid w:val="003836D2"/>
    <w:rsid w:val="00385750"/>
    <w:rsid w:val="0038584D"/>
    <w:rsid w:val="00385FF1"/>
    <w:rsid w:val="003864AA"/>
    <w:rsid w:val="00386DEB"/>
    <w:rsid w:val="00387155"/>
    <w:rsid w:val="003879A2"/>
    <w:rsid w:val="00387E0B"/>
    <w:rsid w:val="0039276A"/>
    <w:rsid w:val="00396AA0"/>
    <w:rsid w:val="003A3256"/>
    <w:rsid w:val="003A3D7A"/>
    <w:rsid w:val="003A4137"/>
    <w:rsid w:val="003A4338"/>
    <w:rsid w:val="003A4AB4"/>
    <w:rsid w:val="003A5127"/>
    <w:rsid w:val="003A5346"/>
    <w:rsid w:val="003A54DE"/>
    <w:rsid w:val="003B0579"/>
    <w:rsid w:val="003B27EC"/>
    <w:rsid w:val="003B4234"/>
    <w:rsid w:val="003B6497"/>
    <w:rsid w:val="003C0182"/>
    <w:rsid w:val="003C20E7"/>
    <w:rsid w:val="003C394B"/>
    <w:rsid w:val="003C5151"/>
    <w:rsid w:val="003C659B"/>
    <w:rsid w:val="003C6C6C"/>
    <w:rsid w:val="003D04F6"/>
    <w:rsid w:val="003D0B38"/>
    <w:rsid w:val="003D0EA2"/>
    <w:rsid w:val="003D0F24"/>
    <w:rsid w:val="003D2932"/>
    <w:rsid w:val="003D40F7"/>
    <w:rsid w:val="003D5794"/>
    <w:rsid w:val="003D76B2"/>
    <w:rsid w:val="003D7765"/>
    <w:rsid w:val="003E259D"/>
    <w:rsid w:val="003E32FE"/>
    <w:rsid w:val="003E3683"/>
    <w:rsid w:val="003E41C4"/>
    <w:rsid w:val="003E64E6"/>
    <w:rsid w:val="003E6F03"/>
    <w:rsid w:val="003F080E"/>
    <w:rsid w:val="003F3545"/>
    <w:rsid w:val="003F477E"/>
    <w:rsid w:val="003F7232"/>
    <w:rsid w:val="004012D4"/>
    <w:rsid w:val="00401C4C"/>
    <w:rsid w:val="00402668"/>
    <w:rsid w:val="004032DB"/>
    <w:rsid w:val="00403B21"/>
    <w:rsid w:val="004111FD"/>
    <w:rsid w:val="00411F4B"/>
    <w:rsid w:val="004124D0"/>
    <w:rsid w:val="00412AC8"/>
    <w:rsid w:val="00414690"/>
    <w:rsid w:val="00420B7F"/>
    <w:rsid w:val="00422BE2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481"/>
    <w:rsid w:val="00450D36"/>
    <w:rsid w:val="00454B22"/>
    <w:rsid w:val="00455ED0"/>
    <w:rsid w:val="00457F8D"/>
    <w:rsid w:val="00464706"/>
    <w:rsid w:val="004670D3"/>
    <w:rsid w:val="00467B07"/>
    <w:rsid w:val="004712EF"/>
    <w:rsid w:val="00472962"/>
    <w:rsid w:val="00472D26"/>
    <w:rsid w:val="0047364A"/>
    <w:rsid w:val="00474E96"/>
    <w:rsid w:val="00475BFA"/>
    <w:rsid w:val="00480EF6"/>
    <w:rsid w:val="004839DA"/>
    <w:rsid w:val="00486FBA"/>
    <w:rsid w:val="004908F2"/>
    <w:rsid w:val="00494029"/>
    <w:rsid w:val="00494BC4"/>
    <w:rsid w:val="00497396"/>
    <w:rsid w:val="004A00DD"/>
    <w:rsid w:val="004A261F"/>
    <w:rsid w:val="004A2E2A"/>
    <w:rsid w:val="004B044C"/>
    <w:rsid w:val="004B3721"/>
    <w:rsid w:val="004B38D3"/>
    <w:rsid w:val="004B5A10"/>
    <w:rsid w:val="004B6914"/>
    <w:rsid w:val="004C0BE0"/>
    <w:rsid w:val="004C327A"/>
    <w:rsid w:val="004C3620"/>
    <w:rsid w:val="004C581A"/>
    <w:rsid w:val="004C6A71"/>
    <w:rsid w:val="004D51AF"/>
    <w:rsid w:val="004E10B3"/>
    <w:rsid w:val="004E12CB"/>
    <w:rsid w:val="004E46A1"/>
    <w:rsid w:val="004E4923"/>
    <w:rsid w:val="004F1E79"/>
    <w:rsid w:val="004F5008"/>
    <w:rsid w:val="004F54D1"/>
    <w:rsid w:val="004F5FC7"/>
    <w:rsid w:val="005005BA"/>
    <w:rsid w:val="00501722"/>
    <w:rsid w:val="00503C59"/>
    <w:rsid w:val="0050427F"/>
    <w:rsid w:val="00504EC5"/>
    <w:rsid w:val="00507DA6"/>
    <w:rsid w:val="00513F3B"/>
    <w:rsid w:val="0051574A"/>
    <w:rsid w:val="00517975"/>
    <w:rsid w:val="00523831"/>
    <w:rsid w:val="00526276"/>
    <w:rsid w:val="00532188"/>
    <w:rsid w:val="00532932"/>
    <w:rsid w:val="005330AB"/>
    <w:rsid w:val="005352F0"/>
    <w:rsid w:val="00537BB8"/>
    <w:rsid w:val="00540815"/>
    <w:rsid w:val="0054230C"/>
    <w:rsid w:val="00545D75"/>
    <w:rsid w:val="005518F3"/>
    <w:rsid w:val="005534C4"/>
    <w:rsid w:val="00555667"/>
    <w:rsid w:val="00555F1B"/>
    <w:rsid w:val="0055638B"/>
    <w:rsid w:val="005563D3"/>
    <w:rsid w:val="00562169"/>
    <w:rsid w:val="00564250"/>
    <w:rsid w:val="00574E03"/>
    <w:rsid w:val="00577A30"/>
    <w:rsid w:val="00580112"/>
    <w:rsid w:val="00580EAD"/>
    <w:rsid w:val="00581BA3"/>
    <w:rsid w:val="00581BD3"/>
    <w:rsid w:val="00583246"/>
    <w:rsid w:val="005A136F"/>
    <w:rsid w:val="005A2F8D"/>
    <w:rsid w:val="005A577C"/>
    <w:rsid w:val="005A59B2"/>
    <w:rsid w:val="005A763A"/>
    <w:rsid w:val="005B4354"/>
    <w:rsid w:val="005B5F00"/>
    <w:rsid w:val="005C003E"/>
    <w:rsid w:val="005C4A16"/>
    <w:rsid w:val="005C538D"/>
    <w:rsid w:val="005C72B6"/>
    <w:rsid w:val="005C77DC"/>
    <w:rsid w:val="005C7ACB"/>
    <w:rsid w:val="005D050A"/>
    <w:rsid w:val="005D07B7"/>
    <w:rsid w:val="005D1583"/>
    <w:rsid w:val="005D2E0C"/>
    <w:rsid w:val="005D3963"/>
    <w:rsid w:val="005D4D4A"/>
    <w:rsid w:val="005D57A1"/>
    <w:rsid w:val="005D7AA2"/>
    <w:rsid w:val="005E0D3B"/>
    <w:rsid w:val="005E19D5"/>
    <w:rsid w:val="005E38BF"/>
    <w:rsid w:val="005E5107"/>
    <w:rsid w:val="00601AB5"/>
    <w:rsid w:val="00604DE6"/>
    <w:rsid w:val="00604E9E"/>
    <w:rsid w:val="00610EA7"/>
    <w:rsid w:val="006118E6"/>
    <w:rsid w:val="006127B6"/>
    <w:rsid w:val="00612C9C"/>
    <w:rsid w:val="00614B48"/>
    <w:rsid w:val="0061612A"/>
    <w:rsid w:val="006165D4"/>
    <w:rsid w:val="00616841"/>
    <w:rsid w:val="00616CF3"/>
    <w:rsid w:val="00617CB7"/>
    <w:rsid w:val="00620A65"/>
    <w:rsid w:val="00620D40"/>
    <w:rsid w:val="0062243C"/>
    <w:rsid w:val="006243A1"/>
    <w:rsid w:val="00627E36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61AAE"/>
    <w:rsid w:val="006627AE"/>
    <w:rsid w:val="0066536C"/>
    <w:rsid w:val="00665914"/>
    <w:rsid w:val="00672EB5"/>
    <w:rsid w:val="0067370F"/>
    <w:rsid w:val="00682843"/>
    <w:rsid w:val="00682C3A"/>
    <w:rsid w:val="0068539C"/>
    <w:rsid w:val="00686325"/>
    <w:rsid w:val="0068684F"/>
    <w:rsid w:val="00687322"/>
    <w:rsid w:val="006939FA"/>
    <w:rsid w:val="00693AF5"/>
    <w:rsid w:val="006945A4"/>
    <w:rsid w:val="0069641D"/>
    <w:rsid w:val="006A15AA"/>
    <w:rsid w:val="006A6882"/>
    <w:rsid w:val="006B578D"/>
    <w:rsid w:val="006B579E"/>
    <w:rsid w:val="006C23F9"/>
    <w:rsid w:val="006C2F13"/>
    <w:rsid w:val="006C3B6E"/>
    <w:rsid w:val="006C4107"/>
    <w:rsid w:val="006C48C6"/>
    <w:rsid w:val="006C4E50"/>
    <w:rsid w:val="006C77D8"/>
    <w:rsid w:val="006D0FBA"/>
    <w:rsid w:val="006D1B22"/>
    <w:rsid w:val="006D359A"/>
    <w:rsid w:val="006D4CE3"/>
    <w:rsid w:val="006D586B"/>
    <w:rsid w:val="006D59B9"/>
    <w:rsid w:val="006F21F9"/>
    <w:rsid w:val="006F2B36"/>
    <w:rsid w:val="006F2FD6"/>
    <w:rsid w:val="006F3EA9"/>
    <w:rsid w:val="006F4BA6"/>
    <w:rsid w:val="00701C52"/>
    <w:rsid w:val="0070310C"/>
    <w:rsid w:val="007033F2"/>
    <w:rsid w:val="00704BD8"/>
    <w:rsid w:val="007071C1"/>
    <w:rsid w:val="00707A5F"/>
    <w:rsid w:val="00711AB1"/>
    <w:rsid w:val="00712EF5"/>
    <w:rsid w:val="0071395C"/>
    <w:rsid w:val="0071539F"/>
    <w:rsid w:val="007160D4"/>
    <w:rsid w:val="00717236"/>
    <w:rsid w:val="007175AE"/>
    <w:rsid w:val="0072399A"/>
    <w:rsid w:val="00725A17"/>
    <w:rsid w:val="00726345"/>
    <w:rsid w:val="007301B6"/>
    <w:rsid w:val="007306C8"/>
    <w:rsid w:val="00731829"/>
    <w:rsid w:val="00731EF6"/>
    <w:rsid w:val="0073693B"/>
    <w:rsid w:val="00741DE6"/>
    <w:rsid w:val="00743A9F"/>
    <w:rsid w:val="00744D73"/>
    <w:rsid w:val="00744EE0"/>
    <w:rsid w:val="00746316"/>
    <w:rsid w:val="00747320"/>
    <w:rsid w:val="0075031B"/>
    <w:rsid w:val="007572C8"/>
    <w:rsid w:val="00760911"/>
    <w:rsid w:val="00761D99"/>
    <w:rsid w:val="00763C0F"/>
    <w:rsid w:val="007700DB"/>
    <w:rsid w:val="00771E9C"/>
    <w:rsid w:val="00771F8C"/>
    <w:rsid w:val="00774415"/>
    <w:rsid w:val="00774784"/>
    <w:rsid w:val="00776855"/>
    <w:rsid w:val="00776B6E"/>
    <w:rsid w:val="007812EB"/>
    <w:rsid w:val="00783D55"/>
    <w:rsid w:val="00783E4A"/>
    <w:rsid w:val="00784126"/>
    <w:rsid w:val="00786546"/>
    <w:rsid w:val="00791E16"/>
    <w:rsid w:val="0079204F"/>
    <w:rsid w:val="00792089"/>
    <w:rsid w:val="00793C22"/>
    <w:rsid w:val="00797BFF"/>
    <w:rsid w:val="007A03E0"/>
    <w:rsid w:val="007A5048"/>
    <w:rsid w:val="007B1351"/>
    <w:rsid w:val="007B3A55"/>
    <w:rsid w:val="007B4B0E"/>
    <w:rsid w:val="007B5965"/>
    <w:rsid w:val="007B75C0"/>
    <w:rsid w:val="007C4514"/>
    <w:rsid w:val="007C75B4"/>
    <w:rsid w:val="007D71B1"/>
    <w:rsid w:val="007D73F8"/>
    <w:rsid w:val="007E389D"/>
    <w:rsid w:val="007E52C2"/>
    <w:rsid w:val="007E5917"/>
    <w:rsid w:val="007E6A06"/>
    <w:rsid w:val="007F50F8"/>
    <w:rsid w:val="007F5C81"/>
    <w:rsid w:val="007F6BE7"/>
    <w:rsid w:val="0080038C"/>
    <w:rsid w:val="00800A1A"/>
    <w:rsid w:val="00802826"/>
    <w:rsid w:val="0081299C"/>
    <w:rsid w:val="00821ACF"/>
    <w:rsid w:val="00822E79"/>
    <w:rsid w:val="00823A1D"/>
    <w:rsid w:val="00826E12"/>
    <w:rsid w:val="008271C4"/>
    <w:rsid w:val="00830BE5"/>
    <w:rsid w:val="00831291"/>
    <w:rsid w:val="00832AFD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CB"/>
    <w:rsid w:val="00855657"/>
    <w:rsid w:val="008558E2"/>
    <w:rsid w:val="00856A8C"/>
    <w:rsid w:val="008608C0"/>
    <w:rsid w:val="00860D56"/>
    <w:rsid w:val="00862004"/>
    <w:rsid w:val="008639EB"/>
    <w:rsid w:val="00864B7F"/>
    <w:rsid w:val="00872E5A"/>
    <w:rsid w:val="00875093"/>
    <w:rsid w:val="00875442"/>
    <w:rsid w:val="008759BB"/>
    <w:rsid w:val="008775BB"/>
    <w:rsid w:val="008810C2"/>
    <w:rsid w:val="00883A37"/>
    <w:rsid w:val="00885BFA"/>
    <w:rsid w:val="00885F10"/>
    <w:rsid w:val="008936E7"/>
    <w:rsid w:val="00893850"/>
    <w:rsid w:val="008A0732"/>
    <w:rsid w:val="008A5184"/>
    <w:rsid w:val="008A6D98"/>
    <w:rsid w:val="008A7F42"/>
    <w:rsid w:val="008B4D64"/>
    <w:rsid w:val="008B6D9A"/>
    <w:rsid w:val="008B74B5"/>
    <w:rsid w:val="008C25C1"/>
    <w:rsid w:val="008C33A0"/>
    <w:rsid w:val="008D1FF1"/>
    <w:rsid w:val="008D676E"/>
    <w:rsid w:val="008E1E7A"/>
    <w:rsid w:val="008E2A57"/>
    <w:rsid w:val="008F0E60"/>
    <w:rsid w:val="008F1470"/>
    <w:rsid w:val="008F167B"/>
    <w:rsid w:val="008F18DB"/>
    <w:rsid w:val="008F3E72"/>
    <w:rsid w:val="008F7B87"/>
    <w:rsid w:val="008F7FCB"/>
    <w:rsid w:val="00901B40"/>
    <w:rsid w:val="0090306C"/>
    <w:rsid w:val="009031D2"/>
    <w:rsid w:val="00903BC2"/>
    <w:rsid w:val="009054BF"/>
    <w:rsid w:val="0090705E"/>
    <w:rsid w:val="0091207F"/>
    <w:rsid w:val="0091468A"/>
    <w:rsid w:val="0092012D"/>
    <w:rsid w:val="00921A6B"/>
    <w:rsid w:val="00924245"/>
    <w:rsid w:val="0092525F"/>
    <w:rsid w:val="00927D38"/>
    <w:rsid w:val="00931324"/>
    <w:rsid w:val="00932766"/>
    <w:rsid w:val="009329A7"/>
    <w:rsid w:val="00933382"/>
    <w:rsid w:val="009377B0"/>
    <w:rsid w:val="00940891"/>
    <w:rsid w:val="00943C34"/>
    <w:rsid w:val="00943CF7"/>
    <w:rsid w:val="009447E5"/>
    <w:rsid w:val="00944E8E"/>
    <w:rsid w:val="00946CAE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494E"/>
    <w:rsid w:val="00965795"/>
    <w:rsid w:val="009664B8"/>
    <w:rsid w:val="009672ED"/>
    <w:rsid w:val="009708F0"/>
    <w:rsid w:val="009711B4"/>
    <w:rsid w:val="00976C60"/>
    <w:rsid w:val="009810C5"/>
    <w:rsid w:val="00983CDE"/>
    <w:rsid w:val="009848FA"/>
    <w:rsid w:val="00985A06"/>
    <w:rsid w:val="00995E16"/>
    <w:rsid w:val="00997412"/>
    <w:rsid w:val="009A0FCC"/>
    <w:rsid w:val="009A109B"/>
    <w:rsid w:val="009A5813"/>
    <w:rsid w:val="009B1E8E"/>
    <w:rsid w:val="009B2527"/>
    <w:rsid w:val="009B38BF"/>
    <w:rsid w:val="009B5C1D"/>
    <w:rsid w:val="009B6B30"/>
    <w:rsid w:val="009C4792"/>
    <w:rsid w:val="009C6FEB"/>
    <w:rsid w:val="009D1623"/>
    <w:rsid w:val="009D1C37"/>
    <w:rsid w:val="009D294C"/>
    <w:rsid w:val="009D3442"/>
    <w:rsid w:val="009D65E0"/>
    <w:rsid w:val="009D6EC8"/>
    <w:rsid w:val="009E1805"/>
    <w:rsid w:val="009E1FBF"/>
    <w:rsid w:val="009F0078"/>
    <w:rsid w:val="009F04A9"/>
    <w:rsid w:val="009F16CB"/>
    <w:rsid w:val="009F17BE"/>
    <w:rsid w:val="009F459F"/>
    <w:rsid w:val="009F61BF"/>
    <w:rsid w:val="00A01A92"/>
    <w:rsid w:val="00A01B8C"/>
    <w:rsid w:val="00A02296"/>
    <w:rsid w:val="00A06B7A"/>
    <w:rsid w:val="00A072E6"/>
    <w:rsid w:val="00A1036A"/>
    <w:rsid w:val="00A10442"/>
    <w:rsid w:val="00A10A35"/>
    <w:rsid w:val="00A173FC"/>
    <w:rsid w:val="00A2062F"/>
    <w:rsid w:val="00A210ED"/>
    <w:rsid w:val="00A22C3C"/>
    <w:rsid w:val="00A252F6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1957"/>
    <w:rsid w:val="00A4299D"/>
    <w:rsid w:val="00A467B6"/>
    <w:rsid w:val="00A46BD3"/>
    <w:rsid w:val="00A55A65"/>
    <w:rsid w:val="00A5777F"/>
    <w:rsid w:val="00A61547"/>
    <w:rsid w:val="00A62E81"/>
    <w:rsid w:val="00A67217"/>
    <w:rsid w:val="00A70BE2"/>
    <w:rsid w:val="00A70FAE"/>
    <w:rsid w:val="00A711B4"/>
    <w:rsid w:val="00A724B6"/>
    <w:rsid w:val="00A74A2C"/>
    <w:rsid w:val="00A76221"/>
    <w:rsid w:val="00A775A3"/>
    <w:rsid w:val="00A8049D"/>
    <w:rsid w:val="00A82DCD"/>
    <w:rsid w:val="00A84686"/>
    <w:rsid w:val="00A8548A"/>
    <w:rsid w:val="00A86A6A"/>
    <w:rsid w:val="00A91EFC"/>
    <w:rsid w:val="00A92CDA"/>
    <w:rsid w:val="00A92F1E"/>
    <w:rsid w:val="00A93F8B"/>
    <w:rsid w:val="00A964FB"/>
    <w:rsid w:val="00A97A6F"/>
    <w:rsid w:val="00AA26B4"/>
    <w:rsid w:val="00AA288A"/>
    <w:rsid w:val="00AA2A49"/>
    <w:rsid w:val="00AB246B"/>
    <w:rsid w:val="00AB3F98"/>
    <w:rsid w:val="00AB4553"/>
    <w:rsid w:val="00AB5C1B"/>
    <w:rsid w:val="00AB7110"/>
    <w:rsid w:val="00AC0167"/>
    <w:rsid w:val="00AC0952"/>
    <w:rsid w:val="00AC096A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1256"/>
    <w:rsid w:val="00AE268E"/>
    <w:rsid w:val="00AE3B23"/>
    <w:rsid w:val="00AE4562"/>
    <w:rsid w:val="00AE6C80"/>
    <w:rsid w:val="00AE6FDF"/>
    <w:rsid w:val="00AF2298"/>
    <w:rsid w:val="00AF2B8C"/>
    <w:rsid w:val="00AF3FB6"/>
    <w:rsid w:val="00B11E4A"/>
    <w:rsid w:val="00B11EB1"/>
    <w:rsid w:val="00B1200C"/>
    <w:rsid w:val="00B1306F"/>
    <w:rsid w:val="00B1547F"/>
    <w:rsid w:val="00B172C1"/>
    <w:rsid w:val="00B231D2"/>
    <w:rsid w:val="00B239FC"/>
    <w:rsid w:val="00B2421E"/>
    <w:rsid w:val="00B244C5"/>
    <w:rsid w:val="00B253C3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3347"/>
    <w:rsid w:val="00B54730"/>
    <w:rsid w:val="00B60AC9"/>
    <w:rsid w:val="00B60B49"/>
    <w:rsid w:val="00B61490"/>
    <w:rsid w:val="00B6333F"/>
    <w:rsid w:val="00B6473F"/>
    <w:rsid w:val="00B667B9"/>
    <w:rsid w:val="00B66C8D"/>
    <w:rsid w:val="00B66DC3"/>
    <w:rsid w:val="00B70F10"/>
    <w:rsid w:val="00B71BEE"/>
    <w:rsid w:val="00B7200A"/>
    <w:rsid w:val="00B72CB7"/>
    <w:rsid w:val="00B75C81"/>
    <w:rsid w:val="00B7680C"/>
    <w:rsid w:val="00B7735F"/>
    <w:rsid w:val="00B80CDF"/>
    <w:rsid w:val="00B82A52"/>
    <w:rsid w:val="00B83CCB"/>
    <w:rsid w:val="00B87761"/>
    <w:rsid w:val="00B90759"/>
    <w:rsid w:val="00B9562C"/>
    <w:rsid w:val="00B96BA0"/>
    <w:rsid w:val="00BA3C4F"/>
    <w:rsid w:val="00BB0526"/>
    <w:rsid w:val="00BB1BAA"/>
    <w:rsid w:val="00BB28DF"/>
    <w:rsid w:val="00BB3106"/>
    <w:rsid w:val="00BB55F6"/>
    <w:rsid w:val="00BB634C"/>
    <w:rsid w:val="00BC201D"/>
    <w:rsid w:val="00BC2313"/>
    <w:rsid w:val="00BC2525"/>
    <w:rsid w:val="00BD0799"/>
    <w:rsid w:val="00BD1D5D"/>
    <w:rsid w:val="00BD4F18"/>
    <w:rsid w:val="00BE334D"/>
    <w:rsid w:val="00BE56AA"/>
    <w:rsid w:val="00BE7476"/>
    <w:rsid w:val="00BF1C33"/>
    <w:rsid w:val="00BF267A"/>
    <w:rsid w:val="00C017CA"/>
    <w:rsid w:val="00C01E4A"/>
    <w:rsid w:val="00C03B2F"/>
    <w:rsid w:val="00C050C3"/>
    <w:rsid w:val="00C05F8B"/>
    <w:rsid w:val="00C119EE"/>
    <w:rsid w:val="00C13D8D"/>
    <w:rsid w:val="00C15154"/>
    <w:rsid w:val="00C15704"/>
    <w:rsid w:val="00C17D45"/>
    <w:rsid w:val="00C20A04"/>
    <w:rsid w:val="00C32125"/>
    <w:rsid w:val="00C342F8"/>
    <w:rsid w:val="00C36493"/>
    <w:rsid w:val="00C36783"/>
    <w:rsid w:val="00C36F9F"/>
    <w:rsid w:val="00C41839"/>
    <w:rsid w:val="00C42424"/>
    <w:rsid w:val="00C44168"/>
    <w:rsid w:val="00C4426F"/>
    <w:rsid w:val="00C4504E"/>
    <w:rsid w:val="00C459AE"/>
    <w:rsid w:val="00C45D92"/>
    <w:rsid w:val="00C46904"/>
    <w:rsid w:val="00C4791F"/>
    <w:rsid w:val="00C502FB"/>
    <w:rsid w:val="00C51B90"/>
    <w:rsid w:val="00C53EC2"/>
    <w:rsid w:val="00C541C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2FC"/>
    <w:rsid w:val="00C743DC"/>
    <w:rsid w:val="00C74D11"/>
    <w:rsid w:val="00C76982"/>
    <w:rsid w:val="00C80D63"/>
    <w:rsid w:val="00C80FD5"/>
    <w:rsid w:val="00C81722"/>
    <w:rsid w:val="00C8212E"/>
    <w:rsid w:val="00C82810"/>
    <w:rsid w:val="00C84CEC"/>
    <w:rsid w:val="00C872D7"/>
    <w:rsid w:val="00C92390"/>
    <w:rsid w:val="00C92A9B"/>
    <w:rsid w:val="00C93039"/>
    <w:rsid w:val="00C978F6"/>
    <w:rsid w:val="00CA062A"/>
    <w:rsid w:val="00CA104D"/>
    <w:rsid w:val="00CA18B4"/>
    <w:rsid w:val="00CA217E"/>
    <w:rsid w:val="00CA3AFA"/>
    <w:rsid w:val="00CA4D1B"/>
    <w:rsid w:val="00CA507E"/>
    <w:rsid w:val="00CA7FBF"/>
    <w:rsid w:val="00CB2FB9"/>
    <w:rsid w:val="00CB34C4"/>
    <w:rsid w:val="00CB47C1"/>
    <w:rsid w:val="00CB67CE"/>
    <w:rsid w:val="00CB7A8A"/>
    <w:rsid w:val="00CC2704"/>
    <w:rsid w:val="00CC352E"/>
    <w:rsid w:val="00CC392D"/>
    <w:rsid w:val="00CC75D3"/>
    <w:rsid w:val="00CD2D03"/>
    <w:rsid w:val="00CD342E"/>
    <w:rsid w:val="00CD43FF"/>
    <w:rsid w:val="00CD4C3A"/>
    <w:rsid w:val="00CD5888"/>
    <w:rsid w:val="00CD5DFA"/>
    <w:rsid w:val="00CE0F5C"/>
    <w:rsid w:val="00CE1083"/>
    <w:rsid w:val="00CE276B"/>
    <w:rsid w:val="00CE430A"/>
    <w:rsid w:val="00CE551C"/>
    <w:rsid w:val="00CE7062"/>
    <w:rsid w:val="00CE7FFA"/>
    <w:rsid w:val="00CF0A17"/>
    <w:rsid w:val="00CF0FDC"/>
    <w:rsid w:val="00CF2FB8"/>
    <w:rsid w:val="00CF4B4E"/>
    <w:rsid w:val="00CF594F"/>
    <w:rsid w:val="00CF629C"/>
    <w:rsid w:val="00D01A20"/>
    <w:rsid w:val="00D01B27"/>
    <w:rsid w:val="00D045E0"/>
    <w:rsid w:val="00D04FF5"/>
    <w:rsid w:val="00D10F56"/>
    <w:rsid w:val="00D13E1E"/>
    <w:rsid w:val="00D15542"/>
    <w:rsid w:val="00D15960"/>
    <w:rsid w:val="00D16566"/>
    <w:rsid w:val="00D1736A"/>
    <w:rsid w:val="00D2030F"/>
    <w:rsid w:val="00D218CB"/>
    <w:rsid w:val="00D21A7F"/>
    <w:rsid w:val="00D227CC"/>
    <w:rsid w:val="00D26A60"/>
    <w:rsid w:val="00D26CB9"/>
    <w:rsid w:val="00D30B5D"/>
    <w:rsid w:val="00D30D5F"/>
    <w:rsid w:val="00D33220"/>
    <w:rsid w:val="00D360AE"/>
    <w:rsid w:val="00D40335"/>
    <w:rsid w:val="00D42EF3"/>
    <w:rsid w:val="00D46252"/>
    <w:rsid w:val="00D4661B"/>
    <w:rsid w:val="00D56F8F"/>
    <w:rsid w:val="00D6081B"/>
    <w:rsid w:val="00D60F2D"/>
    <w:rsid w:val="00D6121E"/>
    <w:rsid w:val="00D711E1"/>
    <w:rsid w:val="00D71885"/>
    <w:rsid w:val="00D72A52"/>
    <w:rsid w:val="00D75897"/>
    <w:rsid w:val="00D75918"/>
    <w:rsid w:val="00D75A68"/>
    <w:rsid w:val="00D75DD7"/>
    <w:rsid w:val="00D771DB"/>
    <w:rsid w:val="00D77477"/>
    <w:rsid w:val="00D82899"/>
    <w:rsid w:val="00D84FF5"/>
    <w:rsid w:val="00D85C6E"/>
    <w:rsid w:val="00D92ECA"/>
    <w:rsid w:val="00D939B2"/>
    <w:rsid w:val="00D949D1"/>
    <w:rsid w:val="00D94A97"/>
    <w:rsid w:val="00D94E3F"/>
    <w:rsid w:val="00D96C56"/>
    <w:rsid w:val="00DA1050"/>
    <w:rsid w:val="00DA3FC1"/>
    <w:rsid w:val="00DA7A82"/>
    <w:rsid w:val="00DB1306"/>
    <w:rsid w:val="00DB5856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44A6"/>
    <w:rsid w:val="00E0490B"/>
    <w:rsid w:val="00E05EE9"/>
    <w:rsid w:val="00E064E4"/>
    <w:rsid w:val="00E066BB"/>
    <w:rsid w:val="00E10142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1B1E"/>
    <w:rsid w:val="00E323FB"/>
    <w:rsid w:val="00E33DDC"/>
    <w:rsid w:val="00E40E90"/>
    <w:rsid w:val="00E41854"/>
    <w:rsid w:val="00E42E02"/>
    <w:rsid w:val="00E43094"/>
    <w:rsid w:val="00E43D5D"/>
    <w:rsid w:val="00E449D5"/>
    <w:rsid w:val="00E46ED1"/>
    <w:rsid w:val="00E52CAA"/>
    <w:rsid w:val="00E54189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130D"/>
    <w:rsid w:val="00E71797"/>
    <w:rsid w:val="00E71FF2"/>
    <w:rsid w:val="00E72BA6"/>
    <w:rsid w:val="00E74E54"/>
    <w:rsid w:val="00E75977"/>
    <w:rsid w:val="00E76309"/>
    <w:rsid w:val="00E76486"/>
    <w:rsid w:val="00E83973"/>
    <w:rsid w:val="00E83A3E"/>
    <w:rsid w:val="00E84122"/>
    <w:rsid w:val="00E84C9E"/>
    <w:rsid w:val="00E8688D"/>
    <w:rsid w:val="00E879B0"/>
    <w:rsid w:val="00E93507"/>
    <w:rsid w:val="00E937B8"/>
    <w:rsid w:val="00E94D9D"/>
    <w:rsid w:val="00E960F0"/>
    <w:rsid w:val="00E96F1B"/>
    <w:rsid w:val="00EA0098"/>
    <w:rsid w:val="00EA6023"/>
    <w:rsid w:val="00EB2562"/>
    <w:rsid w:val="00EB2D4B"/>
    <w:rsid w:val="00EB4912"/>
    <w:rsid w:val="00EB51A6"/>
    <w:rsid w:val="00EB52AE"/>
    <w:rsid w:val="00EB532B"/>
    <w:rsid w:val="00EC2942"/>
    <w:rsid w:val="00EC2C9B"/>
    <w:rsid w:val="00EC6072"/>
    <w:rsid w:val="00EC7055"/>
    <w:rsid w:val="00ED0F3E"/>
    <w:rsid w:val="00ED150C"/>
    <w:rsid w:val="00ED311C"/>
    <w:rsid w:val="00ED420E"/>
    <w:rsid w:val="00ED6636"/>
    <w:rsid w:val="00ED7B54"/>
    <w:rsid w:val="00ED7BD4"/>
    <w:rsid w:val="00EE26DD"/>
    <w:rsid w:val="00EE2825"/>
    <w:rsid w:val="00EE453A"/>
    <w:rsid w:val="00EE6A76"/>
    <w:rsid w:val="00EF189A"/>
    <w:rsid w:val="00EF25B8"/>
    <w:rsid w:val="00EF38F2"/>
    <w:rsid w:val="00F00924"/>
    <w:rsid w:val="00F02494"/>
    <w:rsid w:val="00F03BB7"/>
    <w:rsid w:val="00F054BA"/>
    <w:rsid w:val="00F109EE"/>
    <w:rsid w:val="00F16FB2"/>
    <w:rsid w:val="00F211D5"/>
    <w:rsid w:val="00F23068"/>
    <w:rsid w:val="00F237F5"/>
    <w:rsid w:val="00F25FAC"/>
    <w:rsid w:val="00F32C51"/>
    <w:rsid w:val="00F33818"/>
    <w:rsid w:val="00F34E85"/>
    <w:rsid w:val="00F35F5B"/>
    <w:rsid w:val="00F37F61"/>
    <w:rsid w:val="00F40095"/>
    <w:rsid w:val="00F405E6"/>
    <w:rsid w:val="00F4144C"/>
    <w:rsid w:val="00F51C89"/>
    <w:rsid w:val="00F52193"/>
    <w:rsid w:val="00F53758"/>
    <w:rsid w:val="00F56067"/>
    <w:rsid w:val="00F5607A"/>
    <w:rsid w:val="00F5757F"/>
    <w:rsid w:val="00F57A38"/>
    <w:rsid w:val="00F60268"/>
    <w:rsid w:val="00F60755"/>
    <w:rsid w:val="00F63538"/>
    <w:rsid w:val="00F63A09"/>
    <w:rsid w:val="00F64DBB"/>
    <w:rsid w:val="00F7029A"/>
    <w:rsid w:val="00F707AD"/>
    <w:rsid w:val="00F7173F"/>
    <w:rsid w:val="00F72295"/>
    <w:rsid w:val="00F763AE"/>
    <w:rsid w:val="00F8064A"/>
    <w:rsid w:val="00F81409"/>
    <w:rsid w:val="00F8157D"/>
    <w:rsid w:val="00F819B3"/>
    <w:rsid w:val="00F81A58"/>
    <w:rsid w:val="00F833B8"/>
    <w:rsid w:val="00F849D8"/>
    <w:rsid w:val="00F84E32"/>
    <w:rsid w:val="00F8619B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6D49"/>
    <w:rsid w:val="00FD74E4"/>
    <w:rsid w:val="00FD79F0"/>
    <w:rsid w:val="00FE2DA2"/>
    <w:rsid w:val="00FE4EF6"/>
    <w:rsid w:val="00FE5E2A"/>
    <w:rsid w:val="00FE5FDD"/>
    <w:rsid w:val="00FF38CC"/>
    <w:rsid w:val="00FF50C2"/>
    <w:rsid w:val="00FF6367"/>
    <w:rsid w:val="00FF78FA"/>
    <w:rsid w:val="00FF7D9D"/>
    <w:rsid w:val="0D1F0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99" w:semiHidden="0" w:name="Hyperlink"/>
    <w:lsdException w:uiPriority="99" w:name="FollowedHyperlink"/>
    <w:lsdException w:qFormat="1" w:unhideWhenUsed="0" w:uiPriority="99" w:semiHidden="0" w:name="Strong" w:locked="1"/>
    <w:lsdException w:qFormat="1" w:unhideWhenUsed="0" w:uiPriority="99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99" w:name="Balloon Text"/>
    <w:lsdException w:unhideWhenUsed="0" w:uiPriority="99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widowControl w:val="0"/>
      <w:suppressAutoHyphens/>
    </w:pPr>
    <w:rPr>
      <w:rFonts w:ascii="Times New Roman" w:hAnsi="Times New Roman" w:eastAsia="Times New Roman" w:cs="Times New Roman"/>
      <w:sz w:val="22"/>
      <w:lang w:val="ru-RU" w:eastAsia="ar-SA" w:bidi="ar-SA"/>
    </w:rPr>
  </w:style>
  <w:style w:type="paragraph" w:styleId="2">
    <w:name w:val="heading 1"/>
    <w:basedOn w:val="1"/>
    <w:next w:val="1"/>
    <w:link w:val="17"/>
    <w:qFormat/>
    <w:locked/>
    <w:uiPriority w:val="99"/>
    <w:pPr>
      <w:keepNext/>
      <w:widowControl/>
      <w:tabs>
        <w:tab w:val="left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qFormat/>
    <w:locked/>
    <w:uiPriority w:val="99"/>
    <w:rPr>
      <w:rFonts w:cs="Times New Roman"/>
      <w:i/>
    </w:rPr>
  </w:style>
  <w:style w:type="character" w:styleId="6">
    <w:name w:val="Hyperlink"/>
    <w:uiPriority w:val="99"/>
    <w:rPr>
      <w:rFonts w:cs="Times New Roman"/>
      <w:color w:val="0000FF"/>
      <w:u w:val="single"/>
    </w:rPr>
  </w:style>
  <w:style w:type="character" w:styleId="7">
    <w:name w:val="page number"/>
    <w:qFormat/>
    <w:uiPriority w:val="99"/>
    <w:rPr>
      <w:rFonts w:cs="Times New Roman"/>
    </w:rPr>
  </w:style>
  <w:style w:type="character" w:styleId="8">
    <w:name w:val="Strong"/>
    <w:qFormat/>
    <w:locked/>
    <w:uiPriority w:val="99"/>
    <w:rPr>
      <w:rFonts w:cs="Times New Roman"/>
      <w:b/>
      <w:bCs/>
    </w:rPr>
  </w:style>
  <w:style w:type="paragraph" w:styleId="9">
    <w:name w:val="Balloon Text"/>
    <w:basedOn w:val="1"/>
    <w:link w:val="19"/>
    <w:semiHidden/>
    <w:uiPriority w:val="99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paragraph" w:styleId="10">
    <w:name w:val="header"/>
    <w:basedOn w:val="1"/>
    <w:link w:val="21"/>
    <w:qFormat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1">
    <w:name w:val="Body Text"/>
    <w:basedOn w:val="1"/>
    <w:link w:val="27"/>
    <w:qFormat/>
    <w:uiPriority w:val="99"/>
    <w:pPr>
      <w:widowControl/>
      <w:suppressAutoHyphens w:val="0"/>
    </w:pPr>
    <w:rPr>
      <w:b/>
      <w:sz w:val="24"/>
      <w:lang w:val="de-DE" w:eastAsia="ru-RU"/>
    </w:rPr>
  </w:style>
  <w:style w:type="paragraph" w:styleId="12">
    <w:name w:val="Body Text Indent"/>
    <w:basedOn w:val="1"/>
    <w:link w:val="31"/>
    <w:qFormat/>
    <w:uiPriority w:val="99"/>
    <w:pPr>
      <w:widowControl/>
      <w:suppressAutoHyphens w:val="0"/>
      <w:spacing w:after="120"/>
      <w:ind w:left="283"/>
    </w:pPr>
    <w:rPr>
      <w:rFonts w:eastAsia="PMingLiU"/>
      <w:sz w:val="24"/>
    </w:rPr>
  </w:style>
  <w:style w:type="paragraph" w:styleId="13">
    <w:name w:val="footer"/>
    <w:basedOn w:val="1"/>
    <w:link w:val="20"/>
    <w:uiPriority w:val="99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paragraph" w:styleId="14">
    <w:name w:val="Normal (Web)"/>
    <w:basedOn w:val="1"/>
    <w:qFormat/>
    <w:uiPriority w:val="99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styleId="15">
    <w:name w:val="HTML Preformatted"/>
    <w:basedOn w:val="1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table" w:styleId="16">
    <w:name w:val="Table Grid"/>
    <w:basedOn w:val="4"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Заголовок 1 Знак"/>
    <w:link w:val="2"/>
    <w:qFormat/>
    <w:locked/>
    <w:uiPriority w:val="99"/>
    <w:rPr>
      <w:b/>
      <w:sz w:val="40"/>
      <w:szCs w:val="24"/>
      <w:lang w:eastAsia="ar-SA"/>
    </w:rPr>
  </w:style>
  <w:style w:type="character" w:customStyle="1" w:styleId="18">
    <w:name w:val="apple-style-span"/>
    <w:uiPriority w:val="99"/>
    <w:rPr>
      <w:rFonts w:cs="Times New Roman"/>
    </w:rPr>
  </w:style>
  <w:style w:type="character" w:customStyle="1" w:styleId="19">
    <w:name w:val="Текст выноски Знак"/>
    <w:link w:val="9"/>
    <w:semiHidden/>
    <w:locked/>
    <w:uiPriority w:val="99"/>
    <w:rPr>
      <w:rFonts w:ascii="Tahoma" w:hAnsi="Tahoma" w:cs="Tahoma"/>
      <w:sz w:val="16"/>
      <w:szCs w:val="16"/>
      <w:lang w:val="ru-RU" w:eastAsia="ru-RU" w:bidi="ar-SA"/>
    </w:rPr>
  </w:style>
  <w:style w:type="character" w:customStyle="1" w:styleId="20">
    <w:name w:val="Нижний колонтитул Знак"/>
    <w:link w:val="13"/>
    <w:semiHidden/>
    <w:qFormat/>
    <w:locked/>
    <w:uiPriority w:val="99"/>
    <w:rPr>
      <w:rFonts w:cs="Times New Roman"/>
      <w:sz w:val="20"/>
      <w:szCs w:val="20"/>
    </w:rPr>
  </w:style>
  <w:style w:type="character" w:customStyle="1" w:styleId="21">
    <w:name w:val="Верхний колонтитул Знак"/>
    <w:link w:val="10"/>
    <w:semiHidden/>
    <w:qFormat/>
    <w:locked/>
    <w:uiPriority w:val="99"/>
    <w:rPr>
      <w:rFonts w:cs="Times New Roman"/>
      <w:sz w:val="20"/>
      <w:szCs w:val="20"/>
    </w:rPr>
  </w:style>
  <w:style w:type="character" w:customStyle="1" w:styleId="22">
    <w:name w:val="Заголовок1"/>
    <w:qFormat/>
    <w:uiPriority w:val="99"/>
    <w:rPr>
      <w:rFonts w:cs="Times New Roman"/>
    </w:rPr>
  </w:style>
  <w:style w:type="character" w:customStyle="1" w:styleId="23">
    <w:name w:val="style_13361354500000000232rvts6"/>
    <w:qFormat/>
    <w:uiPriority w:val="99"/>
    <w:rPr>
      <w:rFonts w:cs="Times New Roman"/>
    </w:rPr>
  </w:style>
  <w:style w:type="character" w:customStyle="1" w:styleId="24">
    <w:name w:val="quotations__item__rate"/>
    <w:qFormat/>
    <w:uiPriority w:val="99"/>
    <w:rPr>
      <w:rFonts w:cs="Times New Roman"/>
    </w:rPr>
  </w:style>
  <w:style w:type="character" w:customStyle="1" w:styleId="25">
    <w:name w:val="s-rate__item__cont__value1"/>
    <w:qFormat/>
    <w:uiPriority w:val="99"/>
    <w:rPr>
      <w:rFonts w:cs="Times New Roman"/>
      <w:color w:val="2C2A28"/>
      <w:sz w:val="37"/>
      <w:szCs w:val="37"/>
    </w:rPr>
  </w:style>
  <w:style w:type="character" w:customStyle="1" w:styleId="26">
    <w:name w:val="Body Tex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27">
    <w:name w:val="Основной текст Знак"/>
    <w:link w:val="11"/>
    <w:qFormat/>
    <w:locked/>
    <w:uiPriority w:val="99"/>
    <w:rPr>
      <w:rFonts w:cs="Times New Roman"/>
      <w:b/>
      <w:sz w:val="24"/>
      <w:lang w:val="de-DE" w:eastAsia="ru-RU" w:bidi="ar-SA"/>
    </w:rPr>
  </w:style>
  <w:style w:type="character" w:customStyle="1" w:styleId="28">
    <w:name w:val="apple-converted-space"/>
    <w:qFormat/>
    <w:uiPriority w:val="99"/>
  </w:style>
  <w:style w:type="paragraph" w:customStyle="1" w:styleId="29">
    <w:name w:val="Default"/>
    <w:qFormat/>
    <w:uiPriority w:val="99"/>
    <w:pPr>
      <w:autoSpaceDE w:val="0"/>
      <w:autoSpaceDN w:val="0"/>
      <w:adjustRightInd w:val="0"/>
    </w:pPr>
    <w:rPr>
      <w:rFonts w:ascii="Times New Roman" w:hAnsi="Times New Roman" w:eastAsia="Times New Roman" w:cs="Times New Roman"/>
      <w:color w:val="000000"/>
      <w:sz w:val="24"/>
      <w:szCs w:val="24"/>
      <w:lang w:val="ru-RU" w:eastAsia="ru-RU" w:bidi="ar-SA"/>
    </w:rPr>
  </w:style>
  <w:style w:type="character" w:customStyle="1" w:styleId="30">
    <w:name w:val="Body Text Indent Char"/>
    <w:semiHidden/>
    <w:qFormat/>
    <w:locked/>
    <w:uiPriority w:val="99"/>
    <w:rPr>
      <w:rFonts w:cs="Times New Roman"/>
      <w:sz w:val="20"/>
      <w:szCs w:val="20"/>
    </w:rPr>
  </w:style>
  <w:style w:type="character" w:customStyle="1" w:styleId="31">
    <w:name w:val="Основной текст с отступом Знак"/>
    <w:link w:val="12"/>
    <w:qFormat/>
    <w:locked/>
    <w:uiPriority w:val="99"/>
    <w:rPr>
      <w:rFonts w:eastAsia="PMingLiU"/>
      <w:sz w:val="24"/>
    </w:rPr>
  </w:style>
  <w:style w:type="paragraph" w:customStyle="1" w:styleId="32">
    <w:name w:val="Название объекта2"/>
    <w:basedOn w:val="1"/>
    <w:next w:val="1"/>
    <w:qFormat/>
    <w:uiPriority w:val="99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3">
    <w:name w:val="Основной текст с отступом 31"/>
    <w:basedOn w:val="1"/>
    <w:qFormat/>
    <w:uiPriority w:val="99"/>
    <w:pPr>
      <w:widowControl/>
      <w:pBdr>
        <w:top w:val="single" w:color="000000" w:sz="4" w:space="1"/>
        <w:left w:val="single" w:color="000000" w:sz="4" w:space="4"/>
        <w:bottom w:val="single" w:color="000000" w:sz="4" w:space="1"/>
        <w:right w:val="single" w:color="000000" w:sz="4" w:space="4"/>
      </w:pBdr>
      <w:ind w:left="426"/>
      <w:jc w:val="center"/>
    </w:pPr>
    <w:rPr>
      <w:b/>
      <w:sz w:val="36"/>
    </w:rPr>
  </w:style>
  <w:style w:type="character" w:customStyle="1" w:styleId="34">
    <w:name w:val="rptfld1"/>
    <w:qFormat/>
    <w:uiPriority w:val="99"/>
    <w:rPr>
      <w:rFonts w:cs="Times New Roman"/>
      <w:bdr w:val="single" w:color="EAEAEA" w:sz="6" w:space="0"/>
    </w:rPr>
  </w:style>
  <w:style w:type="paragraph" w:customStyle="1" w:styleId="35">
    <w:name w:val="Нормальный"/>
    <w:qFormat/>
    <w:uiPriority w:val="99"/>
    <w:pPr>
      <w:autoSpaceDE w:val="0"/>
      <w:autoSpaceDN w:val="0"/>
    </w:pPr>
    <w:rPr>
      <w:rFonts w:ascii="TimesET" w:hAnsi="TimesET" w:eastAsia="Times New Roman" w:cs="Times New Roman"/>
      <w:lang w:val="ru-RU" w:eastAsia="ru-RU" w:bidi="ar-SA"/>
    </w:rPr>
  </w:style>
  <w:style w:type="paragraph" w:styleId="36">
    <w:name w:val="List Paragraph"/>
    <w:basedOn w:val="1"/>
    <w:qFormat/>
    <w:uiPriority w:val="99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paragraph" w:customStyle="1" w:styleId="37">
    <w:name w:val="a"/>
    <w:basedOn w:val="1"/>
    <w:qFormat/>
    <w:uiPriority w:val="0"/>
    <w:pPr>
      <w:widowControl/>
      <w:suppressAutoHyphens w:val="0"/>
      <w:overflowPunct w:val="0"/>
      <w:autoSpaceDE w:val="0"/>
    </w:pPr>
    <w:rPr>
      <w:sz w:val="20"/>
      <w:lang w:eastAsia="ru-RU"/>
    </w:rPr>
  </w:style>
  <w:style w:type="paragraph" w:customStyle="1" w:styleId="38">
    <w:name w:val="Заголовок 31"/>
    <w:basedOn w:val="1"/>
    <w:next w:val="1"/>
    <w:qFormat/>
    <w:uiPriority w:val="0"/>
    <w:pPr>
      <w:keepNext/>
      <w:widowControl/>
      <w:numPr>
        <w:ilvl w:val="0"/>
        <w:numId w:val="1"/>
      </w:numPr>
      <w:ind w:left="890" w:firstLine="0"/>
      <w:jc w:val="center"/>
    </w:pPr>
    <w:rPr>
      <w:rFonts w:ascii="Times" w:hAnsi="Times" w:cs="Times"/>
      <w:b/>
      <w:bCs/>
      <w:sz w:val="18"/>
      <w:szCs w:val="18"/>
      <w:lang w:eastAsia="zh-CN"/>
    </w:rPr>
  </w:style>
  <w:style w:type="character" w:customStyle="1" w:styleId="39">
    <w:name w:val="WW-Absatz-Standardschriftart1"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OEM</Company>
  <Pages>5</Pages>
  <Words>856</Words>
  <Characters>4884</Characters>
  <Lines>40</Lines>
  <Paragraphs>11</Paragraphs>
  <TotalTime>4</TotalTime>
  <ScaleCrop>false</ScaleCrop>
  <LinksUpToDate>false</LinksUpToDate>
  <CharactersWithSpaces>5729</CharactersWithSpaces>
  <Application>WPS Office_12.2.0.22222_F1E327BC-269C-435d-A152-05C5408002CA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2022-06-07T14:37:00Z</dcterms:created>
  <dc:creator>Прудских</dc:creator>
  <cp:lastModifiedBy>1203117</cp:lastModifiedBy>
  <cp:lastPrinted>2013-11-21T06:41:00Z</cp:lastPrinted>
  <dcterms:modified xsi:type="dcterms:W3CDTF">2025-08-11T09:39:21Z</dcterms:modified>
  <cp:revision>79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1049-12.2.0.22222</vt:lpwstr>
  </property>
  <property fmtid="{D5CDD505-2E9C-101B-9397-08002B2CF9AE}" pid="3" name="ICV">
    <vt:lpwstr>2B92D4273BEA400F8CB741E59FC59DAD_12</vt:lpwstr>
  </property>
</Properties>
</file>